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65C9" w:rsidR="003474DF" w:rsidP="00DD580F" w:rsidRDefault="0F14D210" w14:paraId="21CC07FA" w14:textId="5DEE69E5">
      <w:pPr>
        <w:pStyle w:val="Heading1"/>
        <w:rPr>
          <w:rFonts w:ascii="Arial" w:hAnsi="Arial" w:cs="Arial"/>
          <w:b/>
          <w:bCs/>
          <w:color w:val="000000" w:themeColor="text1"/>
        </w:rPr>
      </w:pPr>
      <w:r w:rsidRPr="005065C9">
        <w:rPr>
          <w:rFonts w:ascii="Arial" w:hAnsi="Arial" w:cs="Arial"/>
          <w:b/>
          <w:bCs/>
          <w:color w:val="000000" w:themeColor="text1"/>
        </w:rPr>
        <w:t>CONSUMER INFORMATION</w:t>
      </w:r>
      <w:r w:rsidRPr="005065C9" w:rsidR="1A514F2E">
        <w:rPr>
          <w:rFonts w:ascii="Arial" w:hAnsi="Arial" w:cs="Arial"/>
          <w:b/>
          <w:bCs/>
          <w:color w:val="000000" w:themeColor="text1"/>
        </w:rPr>
        <w:t xml:space="preserve"> </w:t>
      </w:r>
    </w:p>
    <w:tbl>
      <w:tblPr>
        <w:tblStyle w:val="TableGrid"/>
        <w:tblW w:w="0" w:type="auto"/>
        <w:tblLook w:val="04A0" w:firstRow="1" w:lastRow="0" w:firstColumn="1" w:lastColumn="0" w:noHBand="0" w:noVBand="1"/>
      </w:tblPr>
      <w:tblGrid>
        <w:gridCol w:w="6285"/>
        <w:gridCol w:w="6655"/>
      </w:tblGrid>
      <w:tr w:rsidRPr="005065C9" w:rsidR="00D1498B" w:rsidTr="23C6410D" w14:paraId="0085FE09" w14:textId="77777777">
        <w:tc>
          <w:tcPr>
            <w:tcW w:w="6285" w:type="dxa"/>
            <w:tcBorders>
              <w:top w:val="single" w:color="000000" w:themeColor="text1" w:sz="12" w:space="0"/>
              <w:left w:val="single" w:color="000000" w:themeColor="text1" w:sz="12" w:space="0"/>
              <w:bottom w:val="single" w:color="auto" w:sz="12" w:space="0"/>
              <w:right w:val="single" w:color="FFFFFF" w:themeColor="background1" w:sz="12" w:space="0"/>
            </w:tcBorders>
            <w:shd w:val="clear" w:color="auto" w:fill="2DAC95"/>
            <w:tcMar/>
            <w:vAlign w:val="center"/>
          </w:tcPr>
          <w:p w:rsidRPr="005065C9" w:rsidR="00D1498B" w:rsidP="00D1498B" w:rsidRDefault="00D1498B" w14:paraId="7AB22778" w14:textId="16547C55">
            <w:pPr>
              <w:jc w:val="center"/>
              <w:rPr>
                <w:rFonts w:ascii="Arial" w:hAnsi="Arial" w:eastAsia="Times New Roman" w:cs="Arial"/>
                <w:b w:val="1"/>
                <w:bCs w:val="1"/>
                <w:color w:val="FFFFFF" w:themeColor="background1"/>
                <w:sz w:val="28"/>
                <w:szCs w:val="28"/>
              </w:rPr>
            </w:pPr>
            <w:r w:rsidRPr="23C6410D" w:rsidR="034542EC">
              <w:rPr>
                <w:rFonts w:ascii="Arial" w:hAnsi="Arial" w:eastAsia="Times New Roman" w:cs="Arial"/>
                <w:b w:val="1"/>
                <w:bCs w:val="1"/>
                <w:color w:val="FFFFFF" w:themeColor="background1" w:themeTint="FF" w:themeShade="FF"/>
                <w:sz w:val="28"/>
                <w:szCs w:val="28"/>
              </w:rPr>
              <w:t>TOPICS</w:t>
            </w:r>
          </w:p>
        </w:tc>
        <w:tc>
          <w:tcPr>
            <w:tcW w:w="6655" w:type="dxa"/>
            <w:tcBorders>
              <w:top w:val="single" w:color="000000" w:themeColor="text1" w:sz="12" w:space="0"/>
              <w:left w:val="single" w:color="FFFFFF" w:themeColor="background1" w:sz="12" w:space="0"/>
              <w:bottom w:val="single" w:color="auto" w:sz="12" w:space="0"/>
            </w:tcBorders>
            <w:shd w:val="clear" w:color="auto" w:fill="2DAC95"/>
            <w:tcMar/>
            <w:vAlign w:val="center"/>
          </w:tcPr>
          <w:p w:rsidRPr="005065C9" w:rsidR="00D1498B" w:rsidP="00D1498B" w:rsidRDefault="00D1498B" w14:paraId="1FA10D3F" w14:textId="38DB6DA1">
            <w:pPr>
              <w:jc w:val="center"/>
              <w:rPr>
                <w:rFonts w:ascii="Arial" w:hAnsi="Arial" w:cs="Arial"/>
                <w:b/>
                <w:bCs/>
                <w:color w:val="FFFFFF" w:themeColor="background1"/>
                <w:sz w:val="28"/>
                <w:szCs w:val="28"/>
              </w:rPr>
            </w:pPr>
            <w:r w:rsidRPr="005065C9">
              <w:rPr>
                <w:rFonts w:ascii="Arial" w:hAnsi="Arial" w:cs="Arial"/>
                <w:b/>
                <w:bCs/>
                <w:color w:val="FFFFFF" w:themeColor="background1"/>
                <w:sz w:val="28"/>
                <w:szCs w:val="28"/>
              </w:rPr>
              <w:t>SCHOOL INFORMATION</w:t>
            </w:r>
          </w:p>
        </w:tc>
      </w:tr>
      <w:tr w:rsidRPr="005065C9" w:rsidR="002C21D9" w:rsidTr="23C6410D" w14:paraId="1A36866D" w14:textId="77777777">
        <w:tc>
          <w:tcPr>
            <w:tcW w:w="6285" w:type="dxa"/>
            <w:tcBorders>
              <w:top w:val="single" w:color="auto" w:sz="12" w:space="0"/>
              <w:left w:val="single" w:color="000000" w:themeColor="text1" w:sz="12" w:space="0"/>
              <w:bottom w:val="single" w:color="000000" w:themeColor="text1" w:sz="12" w:space="0"/>
              <w:right w:val="single" w:color="000000" w:themeColor="text1" w:sz="12" w:space="0"/>
            </w:tcBorders>
            <w:tcMar/>
          </w:tcPr>
          <w:p w:rsidRPr="005065C9" w:rsidR="00FF5854" w:rsidP="002C21D9" w:rsidRDefault="002C21D9" w14:paraId="52B6043C" w14:textId="77777777">
            <w:pPr>
              <w:rPr>
                <w:rFonts w:ascii="Arial" w:hAnsi="Arial" w:eastAsia="Times New Roman" w:cs="Arial"/>
                <w:b/>
                <w:bCs/>
                <w:sz w:val="20"/>
                <w:szCs w:val="20"/>
              </w:rPr>
            </w:pPr>
            <w:r w:rsidRPr="005065C9">
              <w:rPr>
                <w:rFonts w:ascii="Arial" w:hAnsi="Arial" w:eastAsia="Times New Roman" w:cs="Arial"/>
                <w:b/>
                <w:bCs/>
                <w:sz w:val="20"/>
                <w:szCs w:val="20"/>
              </w:rPr>
              <w:t>Excluded Programs and Locations</w:t>
            </w:r>
          </w:p>
          <w:p w:rsidRPr="005065C9" w:rsidR="002C21D9" w:rsidP="002C21D9" w:rsidRDefault="00FF5854" w14:paraId="2EBDA784" w14:textId="011758A5">
            <w:pPr>
              <w:rPr>
                <w:rFonts w:ascii="Arial" w:hAnsi="Arial" w:eastAsia="Times New Roman" w:cs="Arial"/>
                <w:sz w:val="20"/>
                <w:szCs w:val="20"/>
              </w:rPr>
            </w:pPr>
            <w:r w:rsidRPr="005065C9">
              <w:rPr>
                <w:rFonts w:ascii="Arial" w:hAnsi="Arial" w:eastAsia="Times New Roman" w:cs="Arial"/>
                <w:sz w:val="20"/>
                <w:szCs w:val="20"/>
              </w:rPr>
              <w:t>P</w:t>
            </w:r>
            <w:r w:rsidRPr="005065C9" w:rsidR="003A5982">
              <w:rPr>
                <w:rFonts w:ascii="Arial" w:hAnsi="Arial" w:eastAsia="Times New Roman" w:cs="Arial"/>
                <w:sz w:val="20"/>
                <w:szCs w:val="20"/>
              </w:rPr>
              <w:t>rograms and locations which are</w:t>
            </w:r>
            <w:r w:rsidRPr="005065C9" w:rsidR="003A5982">
              <w:rPr>
                <w:rFonts w:ascii="Arial" w:hAnsi="Arial" w:eastAsia="Times New Roman" w:cs="Arial"/>
                <w:b/>
                <w:bCs/>
                <w:sz w:val="20"/>
                <w:szCs w:val="20"/>
              </w:rPr>
              <w:t xml:space="preserve"> NOT</w:t>
            </w:r>
            <w:r w:rsidRPr="005065C9" w:rsidR="002C21D9">
              <w:rPr>
                <w:rFonts w:ascii="Arial" w:hAnsi="Arial" w:cs="Arial"/>
                <w:sz w:val="20"/>
                <w:szCs w:val="20"/>
              </w:rPr>
              <w:t xml:space="preserve"> eligible for Title IV funding</w:t>
            </w:r>
            <w:r w:rsidRPr="005065C9" w:rsidR="00715B64">
              <w:rPr>
                <w:rFonts w:ascii="Arial" w:hAnsi="Arial" w:cs="Arial"/>
                <w:sz w:val="20"/>
                <w:szCs w:val="20"/>
              </w:rPr>
              <w:t xml:space="preserve">.  </w:t>
            </w:r>
          </w:p>
        </w:tc>
        <w:tc>
          <w:tcPr>
            <w:tcW w:w="6655" w:type="dxa"/>
            <w:tcBorders>
              <w:top w:val="single" w:color="auto" w:sz="12" w:space="0"/>
              <w:left w:val="single" w:color="000000" w:themeColor="text1" w:sz="12" w:space="0"/>
              <w:right w:val="single" w:color="000000" w:themeColor="text1" w:sz="12" w:space="0"/>
            </w:tcBorders>
            <w:tcMar/>
          </w:tcPr>
          <w:p w:rsidRPr="005065C9" w:rsidR="002C21D9" w:rsidP="00920AF1" w:rsidRDefault="005F45FB" w14:paraId="3CD032B8" w14:textId="63169B94">
            <w:pPr>
              <w:rPr>
                <w:rFonts w:ascii="Arial" w:hAnsi="Arial" w:cs="Arial"/>
                <w:sz w:val="20"/>
                <w:szCs w:val="20"/>
              </w:rPr>
            </w:pPr>
            <w:r w:rsidRPr="005065C9">
              <w:rPr>
                <w:rFonts w:ascii="Arial" w:hAnsi="Arial" w:cs="Arial"/>
                <w:sz w:val="20"/>
                <w:szCs w:val="20"/>
              </w:rPr>
              <w:t xml:space="preserve">Excludes </w:t>
            </w:r>
            <w:r w:rsidRPr="005065C9" w:rsidR="00920AF1">
              <w:rPr>
                <w:rFonts w:ascii="Arial" w:hAnsi="Arial" w:cs="Arial"/>
                <w:sz w:val="20"/>
                <w:szCs w:val="20"/>
              </w:rPr>
              <w:t xml:space="preserve">the CCNM Boucher Campus at this time. </w:t>
            </w:r>
          </w:p>
        </w:tc>
      </w:tr>
      <w:tr w:rsidRPr="005065C9" w:rsidR="005056BC" w:rsidTr="23C6410D" w14:paraId="04AAE9AE" w14:textId="77777777">
        <w:tc>
          <w:tcPr>
            <w:tcW w:w="6285" w:type="dxa"/>
            <w:tcBorders>
              <w:top w:val="single" w:color="auto" w:sz="12" w:space="0"/>
              <w:left w:val="single" w:color="000000" w:themeColor="text1" w:sz="12" w:space="0"/>
              <w:bottom w:val="single" w:color="000000" w:themeColor="text1" w:sz="12" w:space="0"/>
              <w:right w:val="single" w:color="000000" w:themeColor="text1" w:sz="12" w:space="0"/>
            </w:tcBorders>
            <w:tcMar/>
          </w:tcPr>
          <w:p w:rsidRPr="005065C9" w:rsidR="005056BC" w:rsidP="002C21D9" w:rsidRDefault="005056BC" w14:paraId="418570E6" w14:textId="54E02EE1">
            <w:pPr>
              <w:rPr>
                <w:rFonts w:ascii="Arial" w:hAnsi="Arial" w:eastAsia="Times New Roman" w:cs="Arial"/>
                <w:b/>
                <w:bCs/>
                <w:sz w:val="20"/>
                <w:szCs w:val="20"/>
                <w:u w:val="single"/>
              </w:rPr>
            </w:pPr>
            <w:r w:rsidRPr="005065C9">
              <w:rPr>
                <w:rFonts w:ascii="Arial" w:hAnsi="Arial" w:cs="Arial"/>
                <w:b/>
                <w:sz w:val="20"/>
                <w:szCs w:val="20"/>
              </w:rPr>
              <w:t xml:space="preserve">Institutional and Financial Assistance Information </w:t>
            </w:r>
          </w:p>
        </w:tc>
        <w:tc>
          <w:tcPr>
            <w:tcW w:w="6655" w:type="dxa"/>
            <w:tcBorders>
              <w:top w:val="single" w:color="auto" w:sz="12" w:space="0"/>
              <w:left w:val="single" w:color="000000" w:themeColor="text1" w:sz="12" w:space="0"/>
              <w:right w:val="single" w:color="000000" w:themeColor="text1" w:sz="12" w:space="0"/>
            </w:tcBorders>
            <w:tcMar/>
          </w:tcPr>
          <w:p w:rsidRPr="005065C9" w:rsidR="00920AF1" w:rsidP="00920AF1" w:rsidRDefault="00000000" w14:paraId="3A03E955" w14:textId="296986E9">
            <w:pPr>
              <w:rPr>
                <w:rFonts w:ascii="Arial" w:hAnsi="Arial" w:cs="Arial"/>
                <w:b/>
                <w:bCs/>
                <w:color w:val="00C1D5"/>
                <w:sz w:val="20"/>
                <w:szCs w:val="20"/>
              </w:rPr>
            </w:pPr>
            <w:hyperlink w:history="1" r:id="rId5">
              <w:r w:rsidRPr="005065C9" w:rsidR="00920AF1">
                <w:rPr>
                  <w:rStyle w:val="Hyperlink"/>
                  <w:rFonts w:ascii="Arial" w:hAnsi="Arial" w:cs="Arial"/>
                  <w:b/>
                  <w:bCs/>
                  <w:color w:val="00C1D5"/>
                  <w:sz w:val="20"/>
                  <w:szCs w:val="20"/>
                </w:rPr>
                <w:t>FAFSA</w:t>
              </w:r>
              <w:r w:rsidRPr="005065C9" w:rsidR="001D3585">
                <w:rPr>
                  <w:rStyle w:val="Hyperlink"/>
                  <w:rFonts w:ascii="Arial" w:hAnsi="Arial" w:cs="Arial"/>
                  <w:b/>
                  <w:bCs/>
                  <w:color w:val="00C1D5"/>
                  <w:sz w:val="20"/>
                  <w:szCs w:val="20"/>
                </w:rPr>
                <w:t xml:space="preserve"> Federal Student Aid</w:t>
              </w:r>
              <w:r w:rsidRPr="005065C9" w:rsidR="00920AF1">
                <w:rPr>
                  <w:rStyle w:val="Hyperlink"/>
                  <w:rFonts w:ascii="Arial" w:hAnsi="Arial" w:cs="Arial"/>
                  <w:b/>
                  <w:bCs/>
                  <w:color w:val="00C1D5"/>
                  <w:sz w:val="20"/>
                  <w:szCs w:val="20"/>
                </w:rPr>
                <w:t xml:space="preserve"> </w:t>
              </w:r>
              <w:r w:rsidRPr="005065C9" w:rsidR="006957E8">
                <w:rPr>
                  <w:rStyle w:val="Hyperlink"/>
                  <w:rFonts w:ascii="Arial" w:hAnsi="Arial" w:cs="Arial"/>
                  <w:b/>
                  <w:bCs/>
                  <w:color w:val="00C1D5"/>
                  <w:sz w:val="16"/>
                  <w:szCs w:val="20"/>
                </w:rPr>
                <w:t>(</w:t>
              </w:r>
              <w:r w:rsidRPr="005065C9" w:rsidR="00920AF1">
                <w:rPr>
                  <w:rStyle w:val="Hyperlink"/>
                  <w:rFonts w:ascii="Arial" w:hAnsi="Arial" w:cs="Arial"/>
                  <w:b/>
                  <w:bCs/>
                  <w:color w:val="00C1D5"/>
                  <w:sz w:val="16"/>
                  <w:szCs w:val="20"/>
                </w:rPr>
                <w:t xml:space="preserve">Direct </w:t>
              </w:r>
              <w:r w:rsidRPr="005065C9" w:rsidR="006957E8">
                <w:rPr>
                  <w:rStyle w:val="Hyperlink"/>
                  <w:rFonts w:ascii="Arial" w:hAnsi="Arial" w:cs="Arial"/>
                  <w:b/>
                  <w:bCs/>
                  <w:color w:val="00C1D5"/>
                  <w:sz w:val="16"/>
                  <w:szCs w:val="20"/>
                </w:rPr>
                <w:t xml:space="preserve">Unsubsidized </w:t>
              </w:r>
              <w:r w:rsidRPr="005065C9" w:rsidR="00920AF1">
                <w:rPr>
                  <w:rStyle w:val="Hyperlink"/>
                  <w:rFonts w:ascii="Arial" w:hAnsi="Arial" w:cs="Arial"/>
                  <w:b/>
                  <w:bCs/>
                  <w:color w:val="00C1D5"/>
                  <w:sz w:val="16"/>
                  <w:szCs w:val="20"/>
                </w:rPr>
                <w:t xml:space="preserve">Loan </w:t>
              </w:r>
              <w:r w:rsidRPr="005065C9" w:rsidR="001D3585">
                <w:rPr>
                  <w:rStyle w:val="Hyperlink"/>
                  <w:rFonts w:ascii="Arial" w:hAnsi="Arial" w:cs="Arial"/>
                  <w:b/>
                  <w:bCs/>
                  <w:color w:val="00C1D5"/>
                  <w:sz w:val="16"/>
                  <w:szCs w:val="20"/>
                </w:rPr>
                <w:t>and</w:t>
              </w:r>
              <w:r w:rsidRPr="005065C9" w:rsidR="00920AF1">
                <w:rPr>
                  <w:rStyle w:val="Hyperlink"/>
                  <w:rFonts w:ascii="Arial" w:hAnsi="Arial" w:cs="Arial"/>
                  <w:b/>
                  <w:bCs/>
                  <w:color w:val="00C1D5"/>
                  <w:sz w:val="16"/>
                  <w:szCs w:val="20"/>
                </w:rPr>
                <w:t xml:space="preserve"> Grad PLUS</w:t>
              </w:r>
              <w:r w:rsidRPr="005065C9" w:rsidR="006957E8">
                <w:rPr>
                  <w:rStyle w:val="Hyperlink"/>
                  <w:rFonts w:ascii="Arial" w:hAnsi="Arial" w:cs="Arial"/>
                  <w:b/>
                  <w:bCs/>
                  <w:color w:val="00C1D5"/>
                  <w:sz w:val="16"/>
                  <w:szCs w:val="20"/>
                </w:rPr>
                <w:t xml:space="preserve"> Loan</w:t>
              </w:r>
              <w:r w:rsidRPr="005065C9" w:rsidR="00920AF1">
                <w:rPr>
                  <w:rStyle w:val="Hyperlink"/>
                  <w:rFonts w:ascii="Arial" w:hAnsi="Arial" w:cs="Arial"/>
                  <w:b/>
                  <w:bCs/>
                  <w:color w:val="00C1D5"/>
                  <w:sz w:val="16"/>
                  <w:szCs w:val="20"/>
                </w:rPr>
                <w:t>)</w:t>
              </w:r>
            </w:hyperlink>
          </w:p>
          <w:p w:rsidRPr="005065C9" w:rsidR="005056BC" w:rsidP="00920AF1" w:rsidRDefault="00000000" w14:paraId="3748F34F" w14:textId="1D88017B">
            <w:pPr>
              <w:rPr>
                <w:rFonts w:ascii="Arial" w:hAnsi="Arial" w:cs="Arial"/>
                <w:sz w:val="20"/>
                <w:szCs w:val="20"/>
              </w:rPr>
            </w:pPr>
            <w:hyperlink w:history="1" r:id="rId6">
              <w:r w:rsidRPr="005065C9" w:rsidR="006957E8">
                <w:rPr>
                  <w:rStyle w:val="Hyperlink"/>
                  <w:rFonts w:ascii="Arial" w:hAnsi="Arial" w:cs="Arial"/>
                  <w:b/>
                  <w:bCs/>
                  <w:color w:val="00C1D5"/>
                  <w:sz w:val="20"/>
                  <w:szCs w:val="20"/>
                </w:rPr>
                <w:t xml:space="preserve">CCNM </w:t>
              </w:r>
              <w:r w:rsidRPr="005065C9" w:rsidR="008B5EDD">
                <w:rPr>
                  <w:rStyle w:val="Hyperlink"/>
                  <w:rFonts w:ascii="Arial" w:hAnsi="Arial" w:cs="Arial"/>
                  <w:b/>
                  <w:bCs/>
                  <w:color w:val="00C1D5"/>
                  <w:sz w:val="20"/>
                  <w:szCs w:val="20"/>
                </w:rPr>
                <w:t>Scholarships and Bursaries</w:t>
              </w:r>
            </w:hyperlink>
            <w:r w:rsidRPr="005065C9" w:rsidR="00920AF1">
              <w:rPr>
                <w:rFonts w:ascii="Arial" w:hAnsi="Arial" w:cs="Arial"/>
                <w:color w:val="00C1D5"/>
                <w:sz w:val="20"/>
                <w:szCs w:val="20"/>
              </w:rPr>
              <w:t xml:space="preserve"> </w:t>
            </w:r>
          </w:p>
        </w:tc>
      </w:tr>
      <w:tr w:rsidRPr="005065C9" w:rsidR="003C42B6" w:rsidTr="23C6410D" w14:paraId="465307D2" w14:textId="77777777">
        <w:tc>
          <w:tcPr>
            <w:tcW w:w="12940" w:type="dxa"/>
            <w:gridSpan w:val="2"/>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2EFD9" w:themeFill="accent6" w:themeFillTint="33"/>
            <w:tcMar/>
          </w:tcPr>
          <w:p w:rsidRPr="005065C9" w:rsidR="003C42B6" w:rsidP="002C21D9" w:rsidRDefault="00D1498B" w14:paraId="64F28130" w14:textId="67D58B1E">
            <w:pPr>
              <w:rPr>
                <w:rFonts w:ascii="Arial" w:hAnsi="Arial" w:cs="Arial"/>
                <w:b/>
                <w:sz w:val="20"/>
                <w:szCs w:val="20"/>
              </w:rPr>
            </w:pPr>
            <w:r w:rsidRPr="005065C9">
              <w:rPr>
                <w:rFonts w:ascii="Arial" w:hAnsi="Arial" w:cs="Arial"/>
                <w:b/>
                <w:sz w:val="20"/>
                <w:szCs w:val="20"/>
              </w:rPr>
              <w:t>BASIC INFORMATION</w:t>
            </w:r>
          </w:p>
        </w:tc>
      </w:tr>
      <w:tr w:rsidRPr="005065C9" w:rsidR="002C21D9" w:rsidTr="23C6410D" w14:paraId="7DEA0DE4"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4778E9" w:rsidP="00DD580F" w:rsidRDefault="002C21D9" w14:paraId="4B6BC789" w14:textId="77777777">
            <w:pPr>
              <w:rPr>
                <w:rFonts w:ascii="Arial" w:hAnsi="Arial" w:cs="Arial"/>
                <w:b/>
                <w:bCs/>
                <w:sz w:val="20"/>
                <w:szCs w:val="20"/>
              </w:rPr>
            </w:pPr>
            <w:r w:rsidRPr="005065C9">
              <w:rPr>
                <w:rFonts w:ascii="Arial" w:hAnsi="Arial" w:cs="Arial"/>
                <w:b/>
                <w:bCs/>
                <w:sz w:val="20"/>
                <w:szCs w:val="20"/>
              </w:rPr>
              <w:t>General requirement</w:t>
            </w:r>
          </w:p>
          <w:p w:rsidRPr="005065C9" w:rsidR="002C21D9" w:rsidP="00DD580F" w:rsidRDefault="007525AE" w14:paraId="748F2D7E" w14:textId="6614EA42">
            <w:pPr>
              <w:rPr>
                <w:rFonts w:ascii="Arial" w:hAnsi="Arial" w:cs="Arial"/>
                <w:sz w:val="20"/>
                <w:szCs w:val="20"/>
              </w:rPr>
            </w:pPr>
            <w:r w:rsidRPr="005065C9">
              <w:rPr>
                <w:rFonts w:ascii="Arial" w:hAnsi="Arial" w:cs="Arial"/>
                <w:sz w:val="20"/>
                <w:szCs w:val="20"/>
              </w:rPr>
              <w:t>T</w:t>
            </w:r>
            <w:r w:rsidRPr="005065C9" w:rsidR="002C21D9">
              <w:rPr>
                <w:rFonts w:ascii="Arial" w:hAnsi="Arial" w:cs="Arial"/>
                <w:color w:val="44546A" w:themeColor="text2"/>
                <w:sz w:val="20"/>
                <w:szCs w:val="20"/>
              </w:rPr>
              <w:t xml:space="preserve">erms and conditions of the </w:t>
            </w:r>
            <w:proofErr w:type="gramStart"/>
            <w:r w:rsidRPr="005065C9" w:rsidR="002C21D9">
              <w:rPr>
                <w:rFonts w:ascii="Arial" w:hAnsi="Arial" w:cs="Arial"/>
                <w:color w:val="44546A" w:themeColor="text2"/>
                <w:sz w:val="20"/>
                <w:szCs w:val="20"/>
              </w:rPr>
              <w:t>loans</w:t>
            </w:r>
            <w:proofErr w:type="gramEnd"/>
            <w:r w:rsidRPr="005065C9" w:rsidR="002C21D9">
              <w:rPr>
                <w:rFonts w:ascii="Arial" w:hAnsi="Arial" w:cs="Arial"/>
                <w:color w:val="44546A" w:themeColor="text2"/>
                <w:sz w:val="20"/>
                <w:szCs w:val="20"/>
              </w:rPr>
              <w:t xml:space="preserve"> students receive under the William D. Ford Federal Direct Student Loan Program</w:t>
            </w: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2C21D9" w:rsidP="00DD580F" w:rsidRDefault="00000000" w14:paraId="558C492F" w14:textId="627EE53A">
            <w:pPr>
              <w:rPr>
                <w:rFonts w:ascii="Arial" w:hAnsi="Arial" w:cs="Arial"/>
                <w:b/>
                <w:bCs/>
                <w:color w:val="00C1D5"/>
                <w:sz w:val="20"/>
                <w:szCs w:val="20"/>
              </w:rPr>
            </w:pPr>
            <w:hyperlink w:history="1" r:id="rId7">
              <w:r w:rsidRPr="005065C9" w:rsidR="001D3585">
                <w:rPr>
                  <w:rStyle w:val="Hyperlink"/>
                  <w:rFonts w:ascii="Arial" w:hAnsi="Arial" w:cs="Arial"/>
                  <w:b/>
                  <w:bCs/>
                  <w:color w:val="00C1D5"/>
                  <w:sz w:val="20"/>
                  <w:szCs w:val="20"/>
                </w:rPr>
                <w:t>Unsubsidized Direct Loan</w:t>
              </w:r>
            </w:hyperlink>
            <w:r w:rsidRPr="005065C9" w:rsidR="001D3585">
              <w:rPr>
                <w:rFonts w:ascii="Arial" w:hAnsi="Arial" w:cs="Arial"/>
                <w:b/>
                <w:bCs/>
                <w:color w:val="00C1D5"/>
                <w:sz w:val="20"/>
                <w:szCs w:val="20"/>
              </w:rPr>
              <w:t xml:space="preserve"> </w:t>
            </w:r>
          </w:p>
          <w:p w:rsidRPr="005065C9" w:rsidR="001D3585" w:rsidP="00DD580F" w:rsidRDefault="00000000" w14:paraId="787C4F2A" w14:textId="588B8371">
            <w:pPr>
              <w:rPr>
                <w:rFonts w:ascii="Arial" w:hAnsi="Arial" w:cs="Arial"/>
                <w:b/>
                <w:bCs/>
                <w:color w:val="00C1D5"/>
                <w:sz w:val="20"/>
                <w:szCs w:val="20"/>
              </w:rPr>
            </w:pPr>
            <w:hyperlink w:history="1" r:id="rId8">
              <w:r w:rsidRPr="005065C9" w:rsidR="001D3585">
                <w:rPr>
                  <w:rStyle w:val="Hyperlink"/>
                  <w:rFonts w:ascii="Arial" w:hAnsi="Arial" w:cs="Arial"/>
                  <w:b/>
                  <w:bCs/>
                  <w:color w:val="00C1D5"/>
                  <w:sz w:val="20"/>
                  <w:szCs w:val="20"/>
                </w:rPr>
                <w:t>Grad PLUS Loan</w:t>
              </w:r>
            </w:hyperlink>
          </w:p>
          <w:p w:rsidRPr="005065C9" w:rsidR="006957E8" w:rsidP="00DD580F" w:rsidRDefault="006957E8" w14:paraId="33D14252" w14:textId="1700E5C9">
            <w:pPr>
              <w:rPr>
                <w:rFonts w:ascii="Arial" w:hAnsi="Arial" w:cs="Arial"/>
                <w:sz w:val="20"/>
                <w:szCs w:val="20"/>
              </w:rPr>
            </w:pPr>
          </w:p>
        </w:tc>
      </w:tr>
      <w:tr w:rsidRPr="005065C9" w:rsidR="002C21D9" w:rsidTr="23C6410D" w14:paraId="75FECD29"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4778E9" w:rsidP="00DD580F" w:rsidRDefault="002C21D9" w14:paraId="7B24BF67" w14:textId="77777777">
            <w:pPr>
              <w:rPr>
                <w:rFonts w:ascii="Arial" w:hAnsi="Arial" w:cs="Arial"/>
                <w:b/>
                <w:bCs/>
                <w:sz w:val="20"/>
                <w:szCs w:val="20"/>
              </w:rPr>
            </w:pPr>
            <w:r w:rsidRPr="005065C9">
              <w:rPr>
                <w:rFonts w:ascii="Arial" w:hAnsi="Arial" w:cs="Arial"/>
                <w:b/>
                <w:bCs/>
                <w:sz w:val="20"/>
                <w:szCs w:val="20"/>
              </w:rPr>
              <w:t>Application process</w:t>
            </w:r>
          </w:p>
          <w:p w:rsidRPr="005065C9" w:rsidR="002C21D9" w:rsidP="00DD580F" w:rsidRDefault="002C21D9" w14:paraId="1723D652" w14:textId="231BC36C">
            <w:pPr>
              <w:rPr>
                <w:rFonts w:ascii="Arial" w:hAnsi="Arial" w:cs="Arial"/>
                <w:sz w:val="20"/>
                <w:szCs w:val="20"/>
              </w:rPr>
            </w:pPr>
            <w:r w:rsidRPr="005065C9">
              <w:rPr>
                <w:rFonts w:ascii="Arial" w:hAnsi="Arial" w:cs="Arial"/>
                <w:color w:val="44546A" w:themeColor="text2"/>
                <w:sz w:val="20"/>
                <w:szCs w:val="20"/>
              </w:rPr>
              <w:t>The procedures and forms by which students apply for assistance, student eligibility requirements</w:t>
            </w: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7509C8" w:rsidP="007509C8" w:rsidRDefault="00000000" w14:paraId="2947944A" w14:textId="77777777">
            <w:pPr>
              <w:rPr>
                <w:rStyle w:val="Hyperlink"/>
                <w:rFonts w:ascii="Arial" w:hAnsi="Arial" w:cs="Arial"/>
                <w:b/>
                <w:bCs/>
                <w:color w:val="00C1D5"/>
                <w:sz w:val="20"/>
                <w:szCs w:val="20"/>
                <w:u w:val="none"/>
              </w:rPr>
            </w:pPr>
            <w:hyperlink w:history="1" r:id="rId9">
              <w:r w:rsidRPr="005065C9" w:rsidR="002051BA">
                <w:rPr>
                  <w:rStyle w:val="Hyperlink"/>
                  <w:rFonts w:ascii="Arial" w:hAnsi="Arial" w:cs="Arial"/>
                  <w:b/>
                  <w:bCs/>
                  <w:color w:val="00C1D5"/>
                  <w:sz w:val="20"/>
                  <w:szCs w:val="20"/>
                </w:rPr>
                <w:t>FAFSA® Application | Federal Student Aid</w:t>
              </w:r>
            </w:hyperlink>
          </w:p>
          <w:p w:rsidRPr="005065C9" w:rsidR="00CB38AB" w:rsidP="007509C8" w:rsidRDefault="00CB38AB" w14:paraId="1819A040" w14:textId="54A93402">
            <w:pPr>
              <w:rPr>
                <w:rFonts w:ascii="Arial" w:hAnsi="Arial" w:cs="Arial"/>
                <w:bCs/>
                <w:iCs/>
                <w:sz w:val="20"/>
                <w:szCs w:val="20"/>
              </w:rPr>
            </w:pPr>
          </w:p>
          <w:p w:rsidRPr="005065C9" w:rsidR="007509C8" w:rsidP="2BBF7182" w:rsidRDefault="29DDF3A3" w14:paraId="7A3D119B" w14:textId="785E5A35">
            <w:pPr>
              <w:rPr>
                <w:rFonts w:ascii="Arial" w:hAnsi="Arial" w:cs="Arial"/>
                <w:sz w:val="20"/>
                <w:szCs w:val="20"/>
              </w:rPr>
            </w:pPr>
            <w:r w:rsidRPr="005065C9">
              <w:rPr>
                <w:rFonts w:ascii="Arial" w:hAnsi="Arial" w:cs="Arial"/>
                <w:sz w:val="20"/>
                <w:szCs w:val="20"/>
              </w:rPr>
              <w:t xml:space="preserve">Students </w:t>
            </w:r>
            <w:r w:rsidRPr="005065C9">
              <w:rPr>
                <w:rFonts w:ascii="Arial" w:hAnsi="Arial" w:cs="Arial"/>
                <w:color w:val="000000" w:themeColor="text1"/>
                <w:sz w:val="20"/>
                <w:szCs w:val="20"/>
              </w:rPr>
              <w:t xml:space="preserve">will receive a </w:t>
            </w:r>
            <w:r w:rsidRPr="005065C9">
              <w:rPr>
                <w:rFonts w:ascii="Arial" w:hAnsi="Arial" w:cs="Arial"/>
                <w:b/>
                <w:bCs/>
                <w:color w:val="000000" w:themeColor="text1"/>
                <w:sz w:val="20"/>
                <w:szCs w:val="20"/>
              </w:rPr>
              <w:t xml:space="preserve">“How-to” </w:t>
            </w:r>
            <w:r w:rsidRPr="005065C9">
              <w:rPr>
                <w:rFonts w:ascii="Arial" w:hAnsi="Arial" w:cs="Arial"/>
                <w:sz w:val="20"/>
                <w:szCs w:val="20"/>
              </w:rPr>
              <w:t xml:space="preserve">document </w:t>
            </w:r>
            <w:r w:rsidRPr="005065C9" w:rsidR="26A04B83">
              <w:rPr>
                <w:rFonts w:ascii="Arial" w:hAnsi="Arial" w:cs="Arial"/>
                <w:sz w:val="20"/>
                <w:szCs w:val="20"/>
              </w:rPr>
              <w:t xml:space="preserve">as new students and if returning who are interested in receiving </w:t>
            </w:r>
            <w:r w:rsidRPr="005065C9" w:rsidR="7FF4BAFE">
              <w:rPr>
                <w:rFonts w:ascii="Arial" w:hAnsi="Arial" w:cs="Arial"/>
                <w:sz w:val="20"/>
                <w:szCs w:val="20"/>
              </w:rPr>
              <w:t>Title</w:t>
            </w:r>
            <w:r w:rsidRPr="005065C9" w:rsidR="26A04B83">
              <w:rPr>
                <w:rFonts w:ascii="Arial" w:hAnsi="Arial" w:cs="Arial"/>
                <w:sz w:val="20"/>
                <w:szCs w:val="20"/>
              </w:rPr>
              <w:t xml:space="preserve"> IV </w:t>
            </w:r>
            <w:r w:rsidRPr="005065C9" w:rsidR="7FF4BAFE">
              <w:rPr>
                <w:rFonts w:ascii="Arial" w:hAnsi="Arial" w:cs="Arial"/>
                <w:sz w:val="20"/>
                <w:szCs w:val="20"/>
              </w:rPr>
              <w:t>financial aid.</w:t>
            </w:r>
          </w:p>
          <w:p w:rsidRPr="005065C9" w:rsidR="007509C8" w:rsidP="007509C8" w:rsidRDefault="007509C8" w14:paraId="54E1D03E" w14:textId="1CDEEF13">
            <w:pPr>
              <w:rPr>
                <w:rFonts w:ascii="Arial" w:hAnsi="Arial" w:cs="Arial"/>
                <w:bCs/>
                <w:iCs/>
                <w:color w:val="0000FF"/>
                <w:sz w:val="20"/>
                <w:szCs w:val="20"/>
                <w:u w:val="single"/>
              </w:rPr>
            </w:pPr>
          </w:p>
        </w:tc>
      </w:tr>
      <w:tr w:rsidRPr="005065C9" w:rsidR="002C21D9" w:rsidTr="23C6410D" w14:paraId="6964FC67"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2C21D9" w:rsidP="00DD580F" w:rsidRDefault="002C21D9" w14:paraId="4B119AA6" w14:textId="7319146F">
            <w:pPr>
              <w:rPr>
                <w:rFonts w:ascii="Arial" w:hAnsi="Arial" w:cs="Arial"/>
                <w:sz w:val="20"/>
                <w:szCs w:val="20"/>
              </w:rPr>
            </w:pPr>
            <w:r w:rsidRPr="005065C9">
              <w:rPr>
                <w:rFonts w:ascii="Arial" w:hAnsi="Arial" w:cs="Arial"/>
                <w:b/>
                <w:bCs/>
                <w:sz w:val="20"/>
                <w:szCs w:val="20"/>
              </w:rPr>
              <w:t>Award amount determination</w:t>
            </w: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D947B6" w:rsidP="00DD580F" w:rsidRDefault="00D947B6" w14:paraId="2D5F4E23" w14:textId="6534C1E8">
            <w:pPr>
              <w:rPr>
                <w:rFonts w:ascii="Arial" w:hAnsi="Arial" w:cs="Arial"/>
                <w:sz w:val="20"/>
                <w:szCs w:val="20"/>
              </w:rPr>
            </w:pPr>
            <w:r w:rsidRPr="005065C9">
              <w:rPr>
                <w:rFonts w:ascii="Arial" w:hAnsi="Arial" w:cs="Arial"/>
                <w:sz w:val="20"/>
                <w:szCs w:val="20"/>
              </w:rPr>
              <w:t>The two Title IV loans</w:t>
            </w:r>
            <w:r w:rsidRPr="005065C9" w:rsidR="00B07BC2">
              <w:rPr>
                <w:rFonts w:ascii="Arial" w:hAnsi="Arial" w:cs="Arial"/>
                <w:sz w:val="20"/>
                <w:szCs w:val="20"/>
              </w:rPr>
              <w:t xml:space="preserve"> </w:t>
            </w:r>
            <w:r w:rsidRPr="005065C9" w:rsidR="000A09B0">
              <w:rPr>
                <w:rFonts w:ascii="Arial" w:hAnsi="Arial" w:cs="Arial"/>
                <w:sz w:val="20"/>
                <w:szCs w:val="20"/>
              </w:rPr>
              <w:t>CCNM</w:t>
            </w:r>
            <w:r w:rsidRPr="005065C9">
              <w:rPr>
                <w:rFonts w:ascii="Arial" w:hAnsi="Arial" w:cs="Arial"/>
                <w:sz w:val="20"/>
                <w:szCs w:val="20"/>
              </w:rPr>
              <w:t xml:space="preserve"> administer</w:t>
            </w:r>
            <w:r w:rsidRPr="005065C9" w:rsidR="000A09B0">
              <w:rPr>
                <w:rFonts w:ascii="Arial" w:hAnsi="Arial" w:cs="Arial"/>
                <w:sz w:val="20"/>
                <w:szCs w:val="20"/>
              </w:rPr>
              <w:t>s</w:t>
            </w:r>
            <w:r w:rsidRPr="005065C9">
              <w:rPr>
                <w:rFonts w:ascii="Arial" w:hAnsi="Arial" w:cs="Arial"/>
                <w:sz w:val="20"/>
                <w:szCs w:val="20"/>
              </w:rPr>
              <w:t xml:space="preserve"> are </w:t>
            </w:r>
            <w:r w:rsidRPr="005065C9" w:rsidR="00CB38AB">
              <w:rPr>
                <w:rFonts w:ascii="Arial" w:hAnsi="Arial" w:cs="Arial"/>
                <w:sz w:val="20"/>
                <w:szCs w:val="20"/>
              </w:rPr>
              <w:t xml:space="preserve">the </w:t>
            </w:r>
            <w:r w:rsidRPr="005065C9">
              <w:rPr>
                <w:rFonts w:ascii="Arial" w:hAnsi="Arial" w:cs="Arial"/>
                <w:sz w:val="20"/>
                <w:szCs w:val="20"/>
              </w:rPr>
              <w:t xml:space="preserve">Direct </w:t>
            </w:r>
            <w:r w:rsidRPr="005065C9" w:rsidR="00CB38AB">
              <w:rPr>
                <w:rFonts w:ascii="Arial" w:hAnsi="Arial" w:cs="Arial"/>
                <w:sz w:val="20"/>
                <w:szCs w:val="20"/>
              </w:rPr>
              <w:t xml:space="preserve">Unsubsidized </w:t>
            </w:r>
            <w:r w:rsidRPr="005065C9">
              <w:rPr>
                <w:rFonts w:ascii="Arial" w:hAnsi="Arial" w:cs="Arial"/>
                <w:sz w:val="20"/>
                <w:szCs w:val="20"/>
              </w:rPr>
              <w:t xml:space="preserve">Loan and </w:t>
            </w:r>
            <w:r w:rsidRPr="005065C9" w:rsidR="00CB38AB">
              <w:rPr>
                <w:rFonts w:ascii="Arial" w:hAnsi="Arial" w:cs="Arial"/>
                <w:sz w:val="20"/>
                <w:szCs w:val="20"/>
              </w:rPr>
              <w:t>the Grad PLUS Loan</w:t>
            </w:r>
            <w:r w:rsidRPr="005065C9">
              <w:rPr>
                <w:rFonts w:ascii="Arial" w:hAnsi="Arial" w:cs="Arial"/>
                <w:sz w:val="20"/>
                <w:szCs w:val="20"/>
              </w:rPr>
              <w:t xml:space="preserve">. Award amounts are determined based on cost of attending, inclusive </w:t>
            </w:r>
            <w:r w:rsidRPr="005065C9" w:rsidR="007B37CD">
              <w:rPr>
                <w:rFonts w:ascii="Arial" w:hAnsi="Arial" w:cs="Arial"/>
                <w:sz w:val="20"/>
                <w:szCs w:val="20"/>
              </w:rPr>
              <w:t>of</w:t>
            </w:r>
            <w:r w:rsidRPr="005065C9">
              <w:rPr>
                <w:rFonts w:ascii="Arial" w:hAnsi="Arial" w:cs="Arial"/>
                <w:sz w:val="20"/>
                <w:szCs w:val="20"/>
              </w:rPr>
              <w:t xml:space="preserve"> tuition, books and equipment, mandatory student fees, rent, </w:t>
            </w:r>
            <w:r w:rsidRPr="005065C9" w:rsidR="007B37CD">
              <w:rPr>
                <w:rFonts w:ascii="Arial" w:hAnsi="Arial" w:cs="Arial"/>
                <w:sz w:val="20"/>
                <w:szCs w:val="20"/>
              </w:rPr>
              <w:t>loan fees, etc</w:t>
            </w:r>
            <w:r w:rsidRPr="005065C9" w:rsidR="00D9255B">
              <w:rPr>
                <w:rFonts w:ascii="Arial" w:hAnsi="Arial" w:cs="Arial"/>
                <w:sz w:val="20"/>
                <w:szCs w:val="20"/>
              </w:rPr>
              <w:t xml:space="preserve">. </w:t>
            </w:r>
            <w:r w:rsidRPr="005065C9" w:rsidR="00E60962">
              <w:rPr>
                <w:rFonts w:ascii="Arial" w:hAnsi="Arial" w:cs="Arial"/>
                <w:sz w:val="20"/>
                <w:szCs w:val="20"/>
              </w:rPr>
              <w:t xml:space="preserve">The </w:t>
            </w:r>
            <w:r w:rsidRPr="005065C9">
              <w:rPr>
                <w:rFonts w:ascii="Arial" w:hAnsi="Arial" w:cs="Arial"/>
                <w:sz w:val="20"/>
                <w:szCs w:val="20"/>
              </w:rPr>
              <w:t xml:space="preserve">applicable </w:t>
            </w:r>
            <w:r w:rsidRPr="005065C9" w:rsidR="00CB38AB">
              <w:rPr>
                <w:rFonts w:ascii="Arial" w:hAnsi="Arial" w:cs="Arial"/>
                <w:sz w:val="20"/>
                <w:szCs w:val="20"/>
              </w:rPr>
              <w:t xml:space="preserve">award </w:t>
            </w:r>
            <w:r w:rsidRPr="005065C9">
              <w:rPr>
                <w:rFonts w:ascii="Arial" w:hAnsi="Arial" w:cs="Arial"/>
                <w:sz w:val="20"/>
                <w:szCs w:val="20"/>
              </w:rPr>
              <w:t xml:space="preserve">template </w:t>
            </w:r>
            <w:r w:rsidRPr="005065C9" w:rsidR="007B37CD">
              <w:rPr>
                <w:rFonts w:ascii="Arial" w:hAnsi="Arial" w:cs="Arial"/>
                <w:sz w:val="20"/>
                <w:szCs w:val="20"/>
              </w:rPr>
              <w:t xml:space="preserve">for </w:t>
            </w:r>
            <w:r w:rsidRPr="005065C9" w:rsidR="00E60962">
              <w:rPr>
                <w:rFonts w:ascii="Arial" w:hAnsi="Arial" w:cs="Arial"/>
                <w:sz w:val="20"/>
                <w:szCs w:val="20"/>
              </w:rPr>
              <w:t xml:space="preserve">the </w:t>
            </w:r>
            <w:r w:rsidRPr="005065C9" w:rsidR="007B37CD">
              <w:rPr>
                <w:rFonts w:ascii="Arial" w:hAnsi="Arial" w:cs="Arial"/>
                <w:sz w:val="20"/>
                <w:szCs w:val="20"/>
              </w:rPr>
              <w:t>year of study</w:t>
            </w:r>
            <w:r w:rsidRPr="005065C9" w:rsidR="00E60962">
              <w:rPr>
                <w:rFonts w:ascii="Arial" w:hAnsi="Arial" w:cs="Arial"/>
                <w:sz w:val="20"/>
                <w:szCs w:val="20"/>
              </w:rPr>
              <w:t xml:space="preserve"> will be sent </w:t>
            </w:r>
            <w:r w:rsidRPr="005065C9" w:rsidR="00FE4CE4">
              <w:rPr>
                <w:rFonts w:ascii="Arial" w:hAnsi="Arial" w:cs="Arial"/>
                <w:sz w:val="20"/>
                <w:szCs w:val="20"/>
              </w:rPr>
              <w:t>via email by Student Services</w:t>
            </w:r>
            <w:r w:rsidRPr="005065C9" w:rsidR="00CB38AB">
              <w:rPr>
                <w:rFonts w:ascii="Arial" w:hAnsi="Arial" w:cs="Arial"/>
                <w:sz w:val="20"/>
                <w:szCs w:val="20"/>
              </w:rPr>
              <w:t>.</w:t>
            </w:r>
            <w:r w:rsidRPr="005065C9">
              <w:rPr>
                <w:rFonts w:ascii="Arial" w:hAnsi="Arial" w:cs="Arial"/>
                <w:sz w:val="20"/>
                <w:szCs w:val="20"/>
              </w:rPr>
              <w:t xml:space="preserve"> Award is based on the calculation of the template.</w:t>
            </w:r>
          </w:p>
          <w:p w:rsidRPr="005065C9" w:rsidR="00D947B6" w:rsidP="00DD580F" w:rsidRDefault="00D947B6" w14:paraId="4D841CB5" w14:textId="3DD5E1C8">
            <w:pPr>
              <w:rPr>
                <w:rFonts w:ascii="Arial" w:hAnsi="Arial" w:cs="Arial"/>
                <w:sz w:val="20"/>
                <w:szCs w:val="20"/>
                <w:highlight w:val="yellow"/>
              </w:rPr>
            </w:pPr>
          </w:p>
          <w:p w:rsidRPr="005065C9" w:rsidR="7101896B" w:rsidP="2BBF7182" w:rsidRDefault="7101896B" w14:paraId="2A2B8B91" w14:textId="78D1BCD2">
            <w:pPr>
              <w:rPr>
                <w:rFonts w:ascii="Arial" w:hAnsi="Arial" w:cs="Arial"/>
                <w:sz w:val="20"/>
                <w:szCs w:val="20"/>
              </w:rPr>
            </w:pPr>
            <w:r w:rsidRPr="005065C9">
              <w:rPr>
                <w:rFonts w:ascii="Arial" w:hAnsi="Arial" w:cs="Arial"/>
                <w:sz w:val="20"/>
                <w:szCs w:val="20"/>
              </w:rPr>
              <w:t xml:space="preserve">Disbursements are </w:t>
            </w:r>
            <w:r w:rsidRPr="005065C9" w:rsidR="47B8F49D">
              <w:rPr>
                <w:rFonts w:ascii="Arial" w:hAnsi="Arial" w:cs="Arial"/>
                <w:sz w:val="20"/>
                <w:szCs w:val="20"/>
              </w:rPr>
              <w:t>scheduled for the start of each</w:t>
            </w:r>
            <w:r w:rsidRPr="005065C9" w:rsidR="26E23E07">
              <w:rPr>
                <w:rFonts w:ascii="Arial" w:hAnsi="Arial" w:cs="Arial"/>
                <w:sz w:val="20"/>
                <w:szCs w:val="20"/>
              </w:rPr>
              <w:t xml:space="preserve"> term</w:t>
            </w:r>
            <w:r w:rsidRPr="005065C9" w:rsidR="2F2E7E5D">
              <w:rPr>
                <w:rFonts w:ascii="Arial" w:hAnsi="Arial" w:cs="Arial"/>
                <w:sz w:val="20"/>
                <w:szCs w:val="20"/>
              </w:rPr>
              <w:t xml:space="preserve"> unless you are a first-time borrower</w:t>
            </w:r>
            <w:r w:rsidRPr="005065C9" w:rsidR="5CB6DFF2">
              <w:rPr>
                <w:rFonts w:ascii="Arial" w:hAnsi="Arial" w:cs="Arial"/>
                <w:sz w:val="20"/>
                <w:szCs w:val="20"/>
              </w:rPr>
              <w:t xml:space="preserve"> (due to </w:t>
            </w:r>
            <w:r w:rsidRPr="005065C9" w:rsidR="5DC8EA1E">
              <w:rPr>
                <w:rFonts w:ascii="Arial" w:hAnsi="Arial" w:cs="Arial"/>
                <w:sz w:val="20"/>
                <w:szCs w:val="20"/>
              </w:rPr>
              <w:t>a 30</w:t>
            </w:r>
            <w:r w:rsidRPr="005065C9" w:rsidR="5CB6DFF2">
              <w:rPr>
                <w:rFonts w:ascii="Arial" w:hAnsi="Arial" w:cs="Arial"/>
                <w:sz w:val="20"/>
                <w:szCs w:val="20"/>
              </w:rPr>
              <w:t>-day hold).</w:t>
            </w:r>
          </w:p>
          <w:p w:rsidRPr="005065C9" w:rsidR="2BBF7182" w:rsidP="2BBF7182" w:rsidRDefault="2BBF7182" w14:paraId="4BFABF47" w14:textId="0FD77074">
            <w:pPr>
              <w:rPr>
                <w:rFonts w:ascii="Arial" w:hAnsi="Arial" w:cs="Arial"/>
                <w:sz w:val="20"/>
                <w:szCs w:val="20"/>
              </w:rPr>
            </w:pPr>
          </w:p>
          <w:p w:rsidRPr="005065C9" w:rsidR="002C21D9" w:rsidP="2BBF7182" w:rsidRDefault="5005AF96" w14:paraId="7D66BCC6" w14:textId="4166D5E0">
            <w:pPr>
              <w:rPr>
                <w:rFonts w:ascii="Arial" w:hAnsi="Arial" w:cs="Arial"/>
                <w:sz w:val="20"/>
                <w:szCs w:val="20"/>
                <w:highlight w:val="yellow"/>
              </w:rPr>
            </w:pPr>
            <w:r w:rsidRPr="005065C9">
              <w:rPr>
                <w:rFonts w:ascii="Arial" w:hAnsi="Arial" w:cs="Arial"/>
                <w:sz w:val="20"/>
                <w:szCs w:val="20"/>
              </w:rPr>
              <w:t>C</w:t>
            </w:r>
            <w:r w:rsidRPr="005065C9" w:rsidR="1A88EC2E">
              <w:rPr>
                <w:rFonts w:ascii="Arial" w:hAnsi="Arial" w:cs="Arial"/>
                <w:sz w:val="20"/>
                <w:szCs w:val="20"/>
              </w:rPr>
              <w:t xml:space="preserve">redit balance refunds after tuition is </w:t>
            </w:r>
            <w:r w:rsidRPr="005065C9">
              <w:rPr>
                <w:rFonts w:ascii="Arial" w:hAnsi="Arial" w:cs="Arial"/>
                <w:sz w:val="20"/>
                <w:szCs w:val="20"/>
              </w:rPr>
              <w:t>provided by Electronic Funds Transfer (EFT</w:t>
            </w:r>
            <w:r w:rsidRPr="005065C9" w:rsidR="05CBDFFF">
              <w:rPr>
                <w:rFonts w:ascii="Arial" w:hAnsi="Arial" w:cs="Arial"/>
                <w:sz w:val="20"/>
                <w:szCs w:val="20"/>
              </w:rPr>
              <w:t xml:space="preserve">) </w:t>
            </w:r>
            <w:r w:rsidRPr="005065C9" w:rsidR="7AFAA020">
              <w:rPr>
                <w:rFonts w:ascii="Arial" w:hAnsi="Arial" w:cs="Arial"/>
                <w:sz w:val="20"/>
                <w:szCs w:val="20"/>
              </w:rPr>
              <w:t>within 15 business days</w:t>
            </w:r>
            <w:r w:rsidRPr="005065C9" w:rsidR="1E4109DE">
              <w:rPr>
                <w:rFonts w:ascii="Arial" w:hAnsi="Arial" w:cs="Arial"/>
                <w:sz w:val="20"/>
                <w:szCs w:val="20"/>
              </w:rPr>
              <w:t xml:space="preserve"> of the disbursement date.</w:t>
            </w:r>
          </w:p>
        </w:tc>
      </w:tr>
      <w:tr w:rsidRPr="005065C9" w:rsidR="002C21D9" w:rsidTr="23C6410D" w14:paraId="1F047FD3"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4778E9" w:rsidP="002C21D9" w:rsidRDefault="002C21D9" w14:paraId="2C2A8AE0" w14:textId="77777777">
            <w:pPr>
              <w:rPr>
                <w:rFonts w:ascii="Arial" w:hAnsi="Arial" w:cs="Arial"/>
                <w:b/>
                <w:bCs/>
                <w:sz w:val="20"/>
                <w:szCs w:val="20"/>
              </w:rPr>
            </w:pPr>
            <w:r w:rsidRPr="005065C9">
              <w:rPr>
                <w:rFonts w:ascii="Arial" w:hAnsi="Arial" w:cs="Arial"/>
                <w:b/>
                <w:bCs/>
                <w:sz w:val="20"/>
                <w:szCs w:val="20"/>
              </w:rPr>
              <w:t>ED materials</w:t>
            </w:r>
          </w:p>
          <w:p w:rsidRPr="005065C9" w:rsidR="002C21D9" w:rsidP="002C21D9" w:rsidRDefault="0079195A" w14:paraId="6233DAA6" w14:textId="1DAA5FD1">
            <w:pPr>
              <w:rPr>
                <w:rFonts w:ascii="Arial" w:hAnsi="Arial" w:cs="Arial"/>
                <w:sz w:val="20"/>
                <w:szCs w:val="20"/>
              </w:rPr>
            </w:pPr>
            <w:r w:rsidRPr="005065C9">
              <w:rPr>
                <w:rFonts w:ascii="Arial" w:hAnsi="Arial" w:cs="Arial"/>
                <w:sz w:val="20"/>
                <w:szCs w:val="20"/>
              </w:rPr>
              <w:t>I</w:t>
            </w:r>
            <w:r w:rsidRPr="005065C9" w:rsidR="002C21D9">
              <w:rPr>
                <w:rFonts w:ascii="Arial" w:hAnsi="Arial" w:cs="Arial"/>
                <w:color w:val="44546A" w:themeColor="text2"/>
                <w:sz w:val="20"/>
                <w:szCs w:val="20"/>
              </w:rPr>
              <w:t xml:space="preserve">nformation published by the U.S. Department of Education </w:t>
            </w:r>
            <w:r w:rsidRPr="005065C9">
              <w:rPr>
                <w:rFonts w:ascii="Arial" w:hAnsi="Arial" w:cs="Arial"/>
                <w:color w:val="44546A" w:themeColor="text2"/>
                <w:sz w:val="20"/>
                <w:szCs w:val="20"/>
              </w:rPr>
              <w:t xml:space="preserve">provided </w:t>
            </w:r>
            <w:r w:rsidRPr="005065C9" w:rsidR="002C21D9">
              <w:rPr>
                <w:rFonts w:ascii="Arial" w:hAnsi="Arial" w:cs="Arial"/>
                <w:color w:val="44546A" w:themeColor="text2"/>
                <w:sz w:val="20"/>
                <w:szCs w:val="20"/>
              </w:rPr>
              <w:t xml:space="preserve">to students </w:t>
            </w:r>
            <w:r w:rsidRPr="005065C9" w:rsidR="00D45F15">
              <w:rPr>
                <w:rFonts w:ascii="Arial" w:hAnsi="Arial" w:cs="Arial"/>
                <w:color w:val="44546A" w:themeColor="text2"/>
                <w:sz w:val="20"/>
                <w:szCs w:val="20"/>
              </w:rPr>
              <w:t xml:space="preserve">interested </w:t>
            </w:r>
            <w:r w:rsidRPr="005065C9" w:rsidR="00FF3935">
              <w:rPr>
                <w:rFonts w:ascii="Arial" w:hAnsi="Arial" w:cs="Arial"/>
                <w:color w:val="44546A" w:themeColor="text2"/>
                <w:sz w:val="20"/>
                <w:szCs w:val="20"/>
              </w:rPr>
              <w:t xml:space="preserve">in </w:t>
            </w:r>
            <w:r w:rsidRPr="005065C9" w:rsidR="00D45F15">
              <w:rPr>
                <w:rFonts w:ascii="Arial" w:hAnsi="Arial" w:cs="Arial"/>
                <w:color w:val="44546A" w:themeColor="text2"/>
                <w:sz w:val="20"/>
                <w:szCs w:val="20"/>
              </w:rPr>
              <w:t xml:space="preserve">or </w:t>
            </w:r>
            <w:r w:rsidRPr="005065C9" w:rsidR="0025765E">
              <w:rPr>
                <w:rFonts w:ascii="Arial" w:hAnsi="Arial" w:cs="Arial"/>
                <w:color w:val="44546A" w:themeColor="text2"/>
                <w:sz w:val="20"/>
                <w:szCs w:val="20"/>
              </w:rPr>
              <w:t>when receiving loans.</w:t>
            </w: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2C21D9" w:rsidP="00DD580F" w:rsidRDefault="00000000" w14:paraId="44927C9F" w14:textId="77777777">
            <w:pPr>
              <w:rPr>
                <w:rStyle w:val="Hyperlink"/>
                <w:rFonts w:ascii="Arial" w:hAnsi="Arial" w:cs="Arial"/>
                <w:b/>
                <w:bCs/>
                <w:color w:val="00C1D5"/>
                <w:sz w:val="20"/>
                <w:szCs w:val="20"/>
              </w:rPr>
            </w:pPr>
            <w:hyperlink w:history="1" r:id="rId10">
              <w:r w:rsidRPr="005065C9" w:rsidR="00D0103F">
                <w:rPr>
                  <w:rStyle w:val="Hyperlink"/>
                  <w:rFonts w:ascii="Arial" w:hAnsi="Arial" w:cs="Arial"/>
                  <w:b/>
                  <w:bCs/>
                  <w:color w:val="00C1D5"/>
                  <w:sz w:val="20"/>
                  <w:szCs w:val="20"/>
                </w:rPr>
                <w:t>Federal Student Loan Programs (studentaid.gov)</w:t>
              </w:r>
            </w:hyperlink>
          </w:p>
          <w:p w:rsidRPr="005065C9" w:rsidR="00D9255B" w:rsidP="00DD580F" w:rsidRDefault="00D9255B" w14:paraId="7A580D55" w14:textId="4CEC8D19">
            <w:pPr>
              <w:rPr>
                <w:rFonts w:ascii="Arial" w:hAnsi="Arial" w:cs="Arial"/>
                <w:sz w:val="20"/>
                <w:szCs w:val="20"/>
              </w:rPr>
            </w:pPr>
            <w:r w:rsidRPr="005065C9">
              <w:rPr>
                <w:rFonts w:ascii="Arial" w:hAnsi="Arial" w:cs="Arial"/>
                <w:b/>
                <w:sz w:val="20"/>
                <w:szCs w:val="20"/>
              </w:rPr>
              <w:t>“How to”</w:t>
            </w:r>
            <w:r w:rsidRPr="005065C9">
              <w:rPr>
                <w:rFonts w:ascii="Arial" w:hAnsi="Arial" w:cs="Arial"/>
                <w:sz w:val="20"/>
                <w:szCs w:val="20"/>
              </w:rPr>
              <w:t xml:space="preserve"> document is sent to new U</w:t>
            </w:r>
            <w:r w:rsidR="005065C9">
              <w:rPr>
                <w:rFonts w:ascii="Arial" w:hAnsi="Arial" w:cs="Arial"/>
                <w:sz w:val="20"/>
                <w:szCs w:val="20"/>
              </w:rPr>
              <w:t>.</w:t>
            </w:r>
            <w:r w:rsidRPr="005065C9">
              <w:rPr>
                <w:rFonts w:ascii="Arial" w:hAnsi="Arial" w:cs="Arial"/>
                <w:sz w:val="20"/>
                <w:szCs w:val="20"/>
              </w:rPr>
              <w:t>S</w:t>
            </w:r>
            <w:r w:rsidR="005065C9">
              <w:rPr>
                <w:rFonts w:ascii="Arial" w:hAnsi="Arial" w:cs="Arial"/>
                <w:sz w:val="20"/>
                <w:szCs w:val="20"/>
              </w:rPr>
              <w:t>.</w:t>
            </w:r>
            <w:r w:rsidRPr="005065C9">
              <w:rPr>
                <w:rFonts w:ascii="Arial" w:hAnsi="Arial" w:cs="Arial"/>
                <w:sz w:val="20"/>
                <w:szCs w:val="20"/>
              </w:rPr>
              <w:t xml:space="preserve"> students requiring loans as well as returning US students. This document includes </w:t>
            </w:r>
            <w:r w:rsidRPr="005065C9" w:rsidR="007B2F11">
              <w:rPr>
                <w:rFonts w:ascii="Arial" w:hAnsi="Arial" w:cs="Arial"/>
                <w:sz w:val="20"/>
                <w:szCs w:val="20"/>
              </w:rPr>
              <w:t xml:space="preserve">current loan </w:t>
            </w:r>
            <w:r w:rsidRPr="005065C9" w:rsidR="004020E2">
              <w:rPr>
                <w:rFonts w:ascii="Arial" w:hAnsi="Arial" w:cs="Arial"/>
                <w:sz w:val="20"/>
                <w:szCs w:val="20"/>
              </w:rPr>
              <w:t xml:space="preserve">and other pertinent consumer </w:t>
            </w:r>
            <w:r w:rsidRPr="005065C9" w:rsidR="007B2F11">
              <w:rPr>
                <w:rFonts w:ascii="Arial" w:hAnsi="Arial" w:cs="Arial"/>
                <w:sz w:val="20"/>
                <w:szCs w:val="20"/>
              </w:rPr>
              <w:t xml:space="preserve">information. </w:t>
            </w:r>
          </w:p>
        </w:tc>
      </w:tr>
      <w:tr w:rsidRPr="005065C9" w:rsidR="002C21D9" w:rsidTr="23C6410D" w14:paraId="57DA1642"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2C21D9" w:rsidP="00DD580F" w:rsidRDefault="002C21D9" w14:paraId="0AA88491" w14:textId="0E8B5546">
            <w:pPr>
              <w:rPr>
                <w:rFonts w:ascii="Arial" w:hAnsi="Arial" w:cs="Arial"/>
                <w:sz w:val="20"/>
                <w:szCs w:val="20"/>
              </w:rPr>
            </w:pPr>
            <w:r w:rsidRPr="005065C9">
              <w:rPr>
                <w:rFonts w:ascii="Arial" w:hAnsi="Arial" w:cs="Arial"/>
                <w:b/>
                <w:bCs/>
                <w:sz w:val="20"/>
                <w:szCs w:val="20"/>
              </w:rPr>
              <w:t>Student eligibility requirements</w:t>
            </w: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2C21D9" w:rsidP="00DD580F" w:rsidRDefault="00E951F2" w14:paraId="7DF26A04" w14:textId="58886C6B">
            <w:pPr>
              <w:rPr>
                <w:rFonts w:ascii="Arial" w:hAnsi="Arial" w:cs="Arial"/>
                <w:color w:val="2809E1"/>
                <w:sz w:val="20"/>
                <w:szCs w:val="20"/>
              </w:rPr>
            </w:pPr>
            <w:r w:rsidRPr="005065C9">
              <w:rPr>
                <w:rFonts w:ascii="Arial" w:hAnsi="Arial" w:cs="Arial"/>
                <w:sz w:val="20"/>
                <w:szCs w:val="20"/>
              </w:rPr>
              <w:t>Title IV eligible U.S. students must be enrolled in an eligible program at least at half-time status.</w:t>
            </w:r>
            <w:r w:rsidRPr="005065C9" w:rsidR="008D7464">
              <w:rPr>
                <w:rFonts w:ascii="Arial" w:hAnsi="Arial" w:cs="Arial"/>
                <w:sz w:val="20"/>
                <w:szCs w:val="20"/>
              </w:rPr>
              <w:t xml:space="preserve"> </w:t>
            </w:r>
          </w:p>
        </w:tc>
      </w:tr>
      <w:tr w:rsidRPr="005065C9" w:rsidR="002C21D9" w:rsidTr="23C6410D" w14:paraId="0EE388D7"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5958DB" w:rsidP="00DD580F" w:rsidRDefault="002C21D9" w14:paraId="5CFCE4E2" w14:textId="3268F53B">
            <w:pPr>
              <w:rPr>
                <w:rFonts w:ascii="Arial" w:hAnsi="Arial" w:cs="Arial"/>
                <w:sz w:val="20"/>
                <w:szCs w:val="20"/>
              </w:rPr>
            </w:pPr>
            <w:r w:rsidRPr="005065C9">
              <w:rPr>
                <w:rFonts w:ascii="Arial" w:hAnsi="Arial" w:cs="Arial"/>
                <w:b/>
                <w:bCs/>
                <w:sz w:val="20"/>
                <w:szCs w:val="20"/>
              </w:rPr>
              <w:t>Student rights and responsibilities</w:t>
            </w:r>
            <w:r w:rsidRPr="005065C9">
              <w:rPr>
                <w:rFonts w:ascii="Arial" w:hAnsi="Arial" w:cs="Arial"/>
                <w:sz w:val="20"/>
                <w:szCs w:val="20"/>
              </w:rPr>
              <w:t xml:space="preserve"> </w:t>
            </w:r>
          </w:p>
          <w:p w:rsidRPr="005065C9" w:rsidR="002C21D9" w:rsidP="004778E9" w:rsidRDefault="00A8772B" w14:paraId="38F3E452" w14:textId="20E3C4AD">
            <w:pPr>
              <w:rPr>
                <w:rFonts w:ascii="Arial" w:hAnsi="Arial" w:cs="Arial"/>
                <w:sz w:val="20"/>
                <w:szCs w:val="20"/>
              </w:rPr>
            </w:pPr>
            <w:r w:rsidRPr="005065C9">
              <w:rPr>
                <w:rFonts w:ascii="Arial" w:hAnsi="Arial" w:cs="Arial"/>
                <w:sz w:val="20"/>
                <w:szCs w:val="20"/>
              </w:rPr>
              <w:t>T</w:t>
            </w:r>
            <w:r w:rsidRPr="005065C9" w:rsidR="002C21D9">
              <w:rPr>
                <w:rFonts w:ascii="Arial" w:hAnsi="Arial" w:cs="Arial"/>
                <w:color w:val="44546A" w:themeColor="text2"/>
                <w:sz w:val="20"/>
                <w:szCs w:val="20"/>
              </w:rPr>
              <w:t xml:space="preserve">erms of any loan received; Criteria for continued student eligibility </w:t>
            </w: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8D7464" w:rsidP="2BBF7182" w:rsidRDefault="00000000" w14:paraId="7F8AE797" w14:textId="4EC7DE80">
            <w:pPr>
              <w:rPr>
                <w:rFonts w:ascii="Arial" w:hAnsi="Arial" w:cs="Arial"/>
                <w:b/>
                <w:bCs/>
                <w:sz w:val="20"/>
                <w:szCs w:val="20"/>
              </w:rPr>
            </w:pPr>
            <w:hyperlink r:id="rId11">
              <w:r w:rsidRPr="005065C9" w:rsidR="1647F010">
                <w:rPr>
                  <w:rStyle w:val="Hyperlink"/>
                  <w:rFonts w:ascii="Arial" w:hAnsi="Arial" w:cs="Arial"/>
                  <w:b/>
                  <w:bCs/>
                  <w:color w:val="00C1D5"/>
                  <w:sz w:val="20"/>
                  <w:szCs w:val="20"/>
                </w:rPr>
                <w:t>Title IV Satisfactory Academic Progress</w:t>
              </w:r>
            </w:hyperlink>
          </w:p>
        </w:tc>
      </w:tr>
      <w:tr w:rsidRPr="005065C9" w:rsidR="009A083E" w:rsidTr="23C6410D" w14:paraId="18E465EB"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9A083E" w14:paraId="7C96372C" w14:textId="1B36DEBE">
            <w:pPr>
              <w:rPr>
                <w:rFonts w:ascii="Arial" w:hAnsi="Arial" w:cs="Arial"/>
                <w:sz w:val="20"/>
                <w:szCs w:val="20"/>
              </w:rPr>
            </w:pPr>
            <w:r w:rsidRPr="005065C9">
              <w:rPr>
                <w:rFonts w:ascii="Arial" w:hAnsi="Arial" w:cs="Arial"/>
                <w:b/>
                <w:bCs/>
                <w:sz w:val="20"/>
                <w:szCs w:val="20"/>
              </w:rPr>
              <w:t>Entrance counseling</w:t>
            </w:r>
            <w:r w:rsidRPr="005065C9">
              <w:rPr>
                <w:rFonts w:ascii="Arial" w:hAnsi="Arial" w:cs="Arial"/>
                <w:sz w:val="20"/>
                <w:szCs w:val="20"/>
              </w:rPr>
              <w:t xml:space="preserve"> </w:t>
            </w: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000000" w14:paraId="35FFF733" w14:textId="2AD7FB76">
            <w:pPr>
              <w:rPr>
                <w:rStyle w:val="Hyperlink"/>
                <w:rFonts w:ascii="Arial" w:hAnsi="Arial" w:cs="Arial"/>
                <w:b/>
                <w:bCs/>
                <w:color w:val="00C1D5"/>
                <w:sz w:val="20"/>
                <w:szCs w:val="20"/>
              </w:rPr>
            </w:pPr>
            <w:hyperlink w:history="1" r:id="rId12">
              <w:r w:rsidRPr="005065C9" w:rsidR="009A083E">
                <w:rPr>
                  <w:rStyle w:val="Hyperlink"/>
                  <w:rFonts w:ascii="Arial" w:hAnsi="Arial" w:cs="Arial"/>
                  <w:b/>
                  <w:bCs/>
                  <w:color w:val="00C1D5"/>
                  <w:sz w:val="20"/>
                  <w:szCs w:val="20"/>
                </w:rPr>
                <w:t>Entrance Counseling | Federal Student Aid</w:t>
              </w:r>
            </w:hyperlink>
          </w:p>
          <w:p w:rsidRPr="005065C9" w:rsidR="009A083E" w:rsidP="009A083E" w:rsidRDefault="009A083E" w14:paraId="29CF8314" w14:textId="4D4D66B7">
            <w:pPr>
              <w:rPr>
                <w:rFonts w:ascii="Arial" w:hAnsi="Arial" w:cs="Arial"/>
                <w:b/>
                <w:bCs/>
                <w:color w:val="00C1D5"/>
                <w:sz w:val="20"/>
                <w:szCs w:val="20"/>
              </w:rPr>
            </w:pPr>
          </w:p>
        </w:tc>
      </w:tr>
      <w:tr w:rsidRPr="005065C9" w:rsidR="009A083E" w:rsidTr="23C6410D" w14:paraId="423206BA" w14:textId="77777777">
        <w:tc>
          <w:tcPr>
            <w:tcW w:w="12940" w:type="dxa"/>
            <w:gridSpan w:val="2"/>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2EFD9" w:themeFill="accent6" w:themeFillTint="33"/>
            <w:tcMar/>
          </w:tcPr>
          <w:p w:rsidRPr="005065C9" w:rsidR="009A083E" w:rsidP="009A083E" w:rsidRDefault="009A083E" w14:paraId="6F5C478E" w14:textId="02A67A36">
            <w:pPr>
              <w:rPr>
                <w:rFonts w:ascii="Arial" w:hAnsi="Arial" w:cs="Arial"/>
                <w:b/>
                <w:bCs/>
                <w:sz w:val="20"/>
                <w:szCs w:val="20"/>
              </w:rPr>
            </w:pPr>
            <w:r w:rsidRPr="005065C9">
              <w:rPr>
                <w:rFonts w:ascii="Arial" w:hAnsi="Arial" w:cs="Arial"/>
                <w:b/>
                <w:sz w:val="20"/>
                <w:szCs w:val="20"/>
              </w:rPr>
              <w:t>INSTITUTIONAL INFORMATION</w:t>
            </w:r>
          </w:p>
        </w:tc>
      </w:tr>
      <w:tr w:rsidRPr="005065C9" w:rsidR="009A083E" w:rsidTr="23C6410D" w14:paraId="7FC14CCF"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9A083E" w14:paraId="7A09B062" w14:textId="77777777">
            <w:pPr>
              <w:rPr>
                <w:rFonts w:ascii="Arial" w:hAnsi="Arial" w:cs="Arial"/>
                <w:sz w:val="20"/>
                <w:szCs w:val="20"/>
              </w:rPr>
            </w:pPr>
            <w:r w:rsidRPr="005065C9">
              <w:rPr>
                <w:rFonts w:ascii="Arial" w:hAnsi="Arial" w:cs="Arial"/>
                <w:b/>
                <w:sz w:val="20"/>
                <w:szCs w:val="20"/>
              </w:rPr>
              <w:t>Academic information</w:t>
            </w:r>
            <w:r w:rsidRPr="005065C9">
              <w:rPr>
                <w:rFonts w:ascii="Arial" w:hAnsi="Arial" w:cs="Arial"/>
                <w:sz w:val="20"/>
                <w:szCs w:val="20"/>
              </w:rPr>
              <w:t xml:space="preserve"> </w:t>
            </w:r>
          </w:p>
          <w:p w:rsidRPr="005065C9" w:rsidR="0052758B" w:rsidP="009A083E" w:rsidRDefault="0052758B" w14:paraId="7DE1CCAE" w14:textId="1B2F20CA">
            <w:pPr>
              <w:rPr>
                <w:rFonts w:ascii="Arial" w:hAnsi="Arial" w:cs="Arial"/>
                <w:color w:val="44546A" w:themeColor="text2"/>
                <w:sz w:val="20"/>
                <w:szCs w:val="20"/>
              </w:rPr>
            </w:pP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000000" w14:paraId="5A76199C" w14:textId="798CC46B">
            <w:pPr>
              <w:rPr>
                <w:rFonts w:ascii="Arial" w:hAnsi="Arial" w:cs="Arial"/>
                <w:b/>
                <w:bCs/>
                <w:sz w:val="20"/>
                <w:szCs w:val="20"/>
              </w:rPr>
            </w:pPr>
            <w:hyperlink w:history="1" r:id="rId13">
              <w:r w:rsidRPr="005065C9" w:rsidR="008B5EDD">
                <w:rPr>
                  <w:rStyle w:val="Hyperlink"/>
                  <w:rFonts w:ascii="Arial" w:hAnsi="Arial" w:cs="Arial"/>
                  <w:b/>
                  <w:bCs/>
                  <w:color w:val="00C1D5"/>
                  <w:sz w:val="20"/>
                  <w:szCs w:val="20"/>
                </w:rPr>
                <w:t>Academic Calendar</w:t>
              </w:r>
            </w:hyperlink>
            <w:r w:rsidRPr="005065C9" w:rsidR="008B5EDD">
              <w:rPr>
                <w:rFonts w:ascii="Arial" w:hAnsi="Arial" w:cs="Arial"/>
                <w:b/>
                <w:bCs/>
                <w:color w:val="00C1D5"/>
                <w:sz w:val="20"/>
                <w:szCs w:val="20"/>
              </w:rPr>
              <w:t xml:space="preserve"> </w:t>
            </w:r>
          </w:p>
        </w:tc>
      </w:tr>
      <w:tr w:rsidRPr="005065C9" w:rsidR="009A083E" w:rsidTr="23C6410D" w14:paraId="3FF7FD0E"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B21CAA" w14:paraId="1155999B" w14:textId="7FA0827F">
            <w:pPr>
              <w:rPr>
                <w:rFonts w:ascii="Arial" w:hAnsi="Arial" w:cs="Arial"/>
                <w:color w:val="44546A" w:themeColor="text2"/>
                <w:sz w:val="20"/>
                <w:szCs w:val="20"/>
              </w:rPr>
            </w:pPr>
            <w:r w:rsidRPr="005065C9">
              <w:rPr>
                <w:rFonts w:ascii="Arial" w:hAnsi="Arial" w:cs="Arial"/>
                <w:b/>
                <w:sz w:val="20"/>
                <w:szCs w:val="20"/>
              </w:rPr>
              <w:t>Education Costs</w:t>
            </w:r>
            <w:r w:rsidRPr="005065C9" w:rsidR="009A083E">
              <w:rPr>
                <w:rFonts w:ascii="Arial" w:hAnsi="Arial" w:cs="Arial"/>
                <w:sz w:val="20"/>
                <w:szCs w:val="20"/>
              </w:rPr>
              <w:t xml:space="preserve"> </w:t>
            </w: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E242A7" w:rsidP="006C6824" w:rsidRDefault="00000000" w14:paraId="6365F145" w14:textId="2284D73B">
            <w:pPr>
              <w:rPr>
                <w:rFonts w:ascii="Arial" w:hAnsi="Arial" w:cs="Arial"/>
                <w:b/>
                <w:bCs/>
                <w:color w:val="00C1D5"/>
                <w:sz w:val="20"/>
                <w:szCs w:val="20"/>
              </w:rPr>
            </w:pPr>
            <w:hyperlink w:history="1" r:id="rId14">
              <w:r w:rsidRPr="005065C9" w:rsidR="00B8094B">
                <w:rPr>
                  <w:rStyle w:val="Hyperlink"/>
                  <w:rFonts w:ascii="Arial" w:hAnsi="Arial" w:cs="Arial"/>
                  <w:b/>
                  <w:bCs/>
                  <w:color w:val="00C1D5"/>
                  <w:sz w:val="20"/>
                  <w:szCs w:val="20"/>
                </w:rPr>
                <w:t>Tuition and Fees</w:t>
              </w:r>
            </w:hyperlink>
            <w:r w:rsidRPr="005065C9" w:rsidR="008B5EDD">
              <w:rPr>
                <w:rFonts w:ascii="Arial" w:hAnsi="Arial" w:cs="Arial"/>
                <w:b/>
                <w:bCs/>
                <w:color w:val="00C1D5"/>
                <w:sz w:val="20"/>
                <w:szCs w:val="20"/>
              </w:rPr>
              <w:t xml:space="preserve"> </w:t>
            </w:r>
          </w:p>
          <w:p w:rsidRPr="005065C9" w:rsidR="00F26F1A" w:rsidP="2BBF7182" w:rsidRDefault="00000000" w14:paraId="7D615162" w14:textId="77777777">
            <w:pPr>
              <w:rPr>
                <w:rFonts w:ascii="Arial" w:hAnsi="Arial" w:cs="Arial"/>
                <w:b/>
                <w:bCs/>
                <w:color w:val="00C1D5"/>
                <w:sz w:val="20"/>
                <w:szCs w:val="20"/>
                <w:u w:val="single"/>
              </w:rPr>
            </w:pPr>
            <w:hyperlink r:id="rId15">
              <w:r w:rsidRPr="005065C9" w:rsidR="36FBC219">
                <w:rPr>
                  <w:rFonts w:ascii="Arial" w:hAnsi="Arial" w:cs="Arial"/>
                  <w:b/>
                  <w:bCs/>
                  <w:color w:val="00C1D5"/>
                  <w:sz w:val="20"/>
                  <w:szCs w:val="20"/>
                  <w:u w:val="single"/>
                </w:rPr>
                <w:t>Living On Campus: CCNM – Toronto Campus</w:t>
              </w:r>
            </w:hyperlink>
          </w:p>
          <w:p w:rsidRPr="005065C9" w:rsidR="00470994" w:rsidP="2BBF7182" w:rsidRDefault="00000000" w14:paraId="5D41BCD6" w14:textId="20FB3A8C">
            <w:pPr>
              <w:rPr>
                <w:rFonts w:ascii="Arial" w:hAnsi="Arial" w:cs="Arial"/>
                <w:b/>
                <w:bCs/>
                <w:color w:val="00C1D5"/>
                <w:sz w:val="20"/>
                <w:szCs w:val="20"/>
                <w:u w:val="single"/>
              </w:rPr>
            </w:pPr>
            <w:hyperlink r:id="rId16">
              <w:r w:rsidRPr="005065C9" w:rsidR="36FBC219">
                <w:rPr>
                  <w:rFonts w:ascii="Arial" w:hAnsi="Arial" w:cs="Arial"/>
                  <w:b/>
                  <w:bCs/>
                  <w:color w:val="00C1D5"/>
                  <w:sz w:val="20"/>
                  <w:szCs w:val="20"/>
                  <w:u w:val="single"/>
                </w:rPr>
                <w:t>Living Off Campus</w:t>
              </w:r>
              <w:r w:rsidRPr="005065C9" w:rsidR="27665E1B">
                <w:rPr>
                  <w:rFonts w:ascii="Arial" w:hAnsi="Arial" w:cs="Arial"/>
                  <w:b/>
                  <w:bCs/>
                  <w:color w:val="00C1D5"/>
                  <w:sz w:val="20"/>
                  <w:szCs w:val="20"/>
                  <w:u w:val="single"/>
                </w:rPr>
                <w:t>: CCNM Toronto and Boucher Campus</w:t>
              </w:r>
            </w:hyperlink>
            <w:r w:rsidRPr="005065C9" w:rsidR="41F87191">
              <w:rPr>
                <w:rFonts w:ascii="Arial" w:hAnsi="Arial" w:cs="Arial"/>
                <w:b/>
                <w:bCs/>
                <w:color w:val="00C1D5"/>
                <w:sz w:val="20"/>
                <w:szCs w:val="20"/>
                <w:u w:val="single"/>
              </w:rPr>
              <w:t xml:space="preserve"> </w:t>
            </w:r>
          </w:p>
          <w:p w:rsidRPr="005065C9" w:rsidR="0090349F" w:rsidP="00C940F9" w:rsidRDefault="0090349F" w14:paraId="1DDA36C9" w14:textId="77777777">
            <w:pPr>
              <w:rPr>
                <w:rFonts w:ascii="Arial" w:hAnsi="Arial" w:cs="Arial"/>
                <w:sz w:val="20"/>
                <w:szCs w:val="20"/>
              </w:rPr>
            </w:pPr>
          </w:p>
          <w:p w:rsidRPr="005065C9" w:rsidR="00C940F9" w:rsidP="00C940F9" w:rsidRDefault="00C940F9" w14:paraId="02A48895" w14:textId="7B4E9A4D">
            <w:pPr>
              <w:rPr>
                <w:rFonts w:ascii="Arial" w:hAnsi="Arial" w:cs="Arial"/>
                <w:sz w:val="20"/>
                <w:szCs w:val="20"/>
              </w:rPr>
            </w:pPr>
            <w:r w:rsidRPr="005065C9">
              <w:rPr>
                <w:rFonts w:ascii="Arial" w:hAnsi="Arial" w:cs="Arial"/>
                <w:sz w:val="20"/>
                <w:szCs w:val="20"/>
              </w:rPr>
              <w:t>Cost of attending (COA) is inclusive of tuition, books and equipment, mandatory student fees, rent, loan fees, etc. for the specific year of study. Funding award is based on the calculation of COA template</w:t>
            </w:r>
            <w:r w:rsidRPr="005065C9" w:rsidR="00B76971">
              <w:rPr>
                <w:rFonts w:ascii="Arial" w:hAnsi="Arial" w:cs="Arial"/>
                <w:sz w:val="20"/>
                <w:szCs w:val="20"/>
              </w:rPr>
              <w:t xml:space="preserve"> provided </w:t>
            </w:r>
            <w:r w:rsidRPr="005065C9" w:rsidR="002E2E44">
              <w:rPr>
                <w:rFonts w:ascii="Arial" w:hAnsi="Arial" w:cs="Arial"/>
                <w:sz w:val="20"/>
                <w:szCs w:val="20"/>
              </w:rPr>
              <w:t>by Student Services</w:t>
            </w:r>
            <w:r w:rsidRPr="005065C9">
              <w:rPr>
                <w:rFonts w:ascii="Arial" w:hAnsi="Arial" w:cs="Arial"/>
                <w:sz w:val="20"/>
                <w:szCs w:val="20"/>
              </w:rPr>
              <w:t>.</w:t>
            </w:r>
          </w:p>
          <w:p w:rsidRPr="005065C9" w:rsidR="00C940F9" w:rsidP="006C6824" w:rsidRDefault="00C940F9" w14:paraId="1BF27826" w14:textId="245EC986">
            <w:pPr>
              <w:rPr>
                <w:rFonts w:ascii="Arial" w:hAnsi="Arial" w:cs="Arial"/>
                <w:sz w:val="20"/>
                <w:szCs w:val="20"/>
                <w:highlight w:val="yellow"/>
              </w:rPr>
            </w:pPr>
          </w:p>
        </w:tc>
      </w:tr>
      <w:tr w:rsidRPr="005065C9" w:rsidR="009A083E" w:rsidTr="23C6410D" w14:paraId="49AF87F1"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9A083E" w14:paraId="6C587D65" w14:textId="086A4019">
            <w:pPr>
              <w:rPr>
                <w:rFonts w:ascii="Arial" w:hAnsi="Arial" w:cs="Arial"/>
                <w:color w:val="44546A" w:themeColor="text2"/>
                <w:sz w:val="20"/>
                <w:szCs w:val="20"/>
              </w:rPr>
            </w:pPr>
            <w:r w:rsidRPr="005065C9">
              <w:rPr>
                <w:rFonts w:ascii="Arial" w:hAnsi="Arial" w:cs="Arial"/>
                <w:b/>
                <w:sz w:val="20"/>
                <w:szCs w:val="20"/>
              </w:rPr>
              <w:t>Disability-related services and facilities</w:t>
            </w:r>
            <w:r w:rsidRPr="005065C9">
              <w:rPr>
                <w:rFonts w:ascii="Arial" w:hAnsi="Arial" w:cs="Arial"/>
                <w:sz w:val="20"/>
                <w:szCs w:val="20"/>
              </w:rPr>
              <w:t xml:space="preserve"> </w:t>
            </w: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000000" w14:paraId="4DF866B5" w14:textId="04537D2F">
            <w:pPr>
              <w:rPr>
                <w:rFonts w:ascii="Arial" w:hAnsi="Arial" w:cs="Arial"/>
                <w:b/>
                <w:bCs/>
                <w:color w:val="00C1D5"/>
                <w:sz w:val="20"/>
                <w:szCs w:val="20"/>
              </w:rPr>
            </w:pPr>
            <w:hyperlink w:history="1" r:id="rId17">
              <w:r w:rsidRPr="005065C9" w:rsidR="004C178A">
                <w:rPr>
                  <w:rStyle w:val="Hyperlink"/>
                  <w:rFonts w:ascii="Arial" w:hAnsi="Arial" w:cs="Arial"/>
                  <w:b/>
                  <w:bCs/>
                  <w:color w:val="00C1D5"/>
                  <w:sz w:val="20"/>
                  <w:szCs w:val="20"/>
                </w:rPr>
                <w:t>Accessibility Services</w:t>
              </w:r>
            </w:hyperlink>
          </w:p>
          <w:p w:rsidRPr="005065C9" w:rsidR="006C71AC" w:rsidP="009A083E" w:rsidRDefault="006C71AC" w14:paraId="387B3F77" w14:textId="77777777">
            <w:pPr>
              <w:rPr>
                <w:rFonts w:ascii="Arial" w:hAnsi="Arial" w:cs="Arial"/>
                <w:b/>
                <w:bCs/>
                <w:color w:val="00C1D5"/>
                <w:sz w:val="20"/>
                <w:szCs w:val="20"/>
              </w:rPr>
            </w:pPr>
          </w:p>
          <w:p w:rsidRPr="005065C9" w:rsidR="007C0998" w:rsidP="009A083E" w:rsidRDefault="007C0998" w14:paraId="19CF8860" w14:textId="3D9FDA01">
            <w:pPr>
              <w:rPr>
                <w:rFonts w:ascii="Arial" w:hAnsi="Arial" w:cs="Arial"/>
                <w:b/>
                <w:bCs/>
                <w:color w:val="00C1D5"/>
                <w:sz w:val="20"/>
                <w:szCs w:val="20"/>
              </w:rPr>
            </w:pPr>
          </w:p>
        </w:tc>
      </w:tr>
      <w:tr w:rsidRPr="005065C9" w:rsidR="009A083E" w:rsidTr="23C6410D" w14:paraId="5234C41C"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9A083E" w14:paraId="119580DD" w14:textId="77777777">
            <w:pPr>
              <w:rPr>
                <w:rFonts w:ascii="Arial" w:hAnsi="Arial" w:cs="Arial"/>
                <w:sz w:val="20"/>
                <w:szCs w:val="20"/>
              </w:rPr>
            </w:pPr>
            <w:r w:rsidRPr="005065C9">
              <w:rPr>
                <w:rFonts w:ascii="Arial" w:hAnsi="Arial" w:cs="Arial"/>
                <w:b/>
                <w:sz w:val="20"/>
                <w:szCs w:val="20"/>
              </w:rPr>
              <w:t>Refund policy</w:t>
            </w:r>
            <w:r w:rsidRPr="005065C9">
              <w:rPr>
                <w:rFonts w:ascii="Arial" w:hAnsi="Arial" w:cs="Arial"/>
                <w:sz w:val="20"/>
                <w:szCs w:val="20"/>
              </w:rPr>
              <w:t xml:space="preserve"> </w:t>
            </w:r>
          </w:p>
          <w:p w:rsidRPr="005065C9" w:rsidR="009A78D0" w:rsidP="009A083E" w:rsidRDefault="009A78D0" w14:paraId="63A71D63" w14:textId="2D077162">
            <w:pPr>
              <w:rPr>
                <w:rFonts w:ascii="Arial" w:hAnsi="Arial" w:cs="Arial"/>
                <w:sz w:val="20"/>
                <w:szCs w:val="20"/>
              </w:rPr>
            </w:pP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2BBF7182" w:rsidRDefault="00000000" w14:paraId="1D1F3B5B" w14:textId="296DF93A">
            <w:pPr>
              <w:rPr>
                <w:rFonts w:ascii="Arial" w:hAnsi="Arial" w:cs="Arial"/>
                <w:b/>
                <w:bCs/>
                <w:color w:val="00C1D5"/>
                <w:sz w:val="20"/>
                <w:szCs w:val="20"/>
              </w:rPr>
            </w:pPr>
            <w:hyperlink r:id="rId18">
              <w:r w:rsidRPr="005065C9" w:rsidR="6B7D1E40">
                <w:rPr>
                  <w:rStyle w:val="Hyperlink"/>
                  <w:rFonts w:ascii="Arial" w:hAnsi="Arial" w:cs="Arial"/>
                  <w:b/>
                  <w:bCs/>
                  <w:color w:val="00C1D5"/>
                  <w:sz w:val="20"/>
                  <w:szCs w:val="20"/>
                </w:rPr>
                <w:t>Tuition, Refund and Withdrawals</w:t>
              </w:r>
            </w:hyperlink>
          </w:p>
        </w:tc>
      </w:tr>
      <w:tr w:rsidRPr="005065C9" w:rsidR="009A083E" w:rsidTr="23C6410D" w14:paraId="58ED23E0"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07547F" w:rsidP="0007547F" w:rsidRDefault="009A083E" w14:paraId="139046A1" w14:textId="4EDA2089">
            <w:pPr>
              <w:rPr>
                <w:rFonts w:ascii="Arial" w:hAnsi="Arial" w:cs="Arial"/>
                <w:color w:val="44546A" w:themeColor="text2"/>
                <w:sz w:val="20"/>
                <w:szCs w:val="20"/>
              </w:rPr>
            </w:pPr>
            <w:r w:rsidRPr="005065C9">
              <w:rPr>
                <w:rFonts w:ascii="Arial" w:hAnsi="Arial" w:cs="Arial"/>
                <w:b/>
                <w:sz w:val="20"/>
                <w:szCs w:val="20"/>
              </w:rPr>
              <w:t>Return of funds requirements</w:t>
            </w:r>
          </w:p>
          <w:p w:rsidRPr="005065C9" w:rsidR="009A083E" w:rsidP="009A083E" w:rsidRDefault="009A083E" w14:paraId="315261CD" w14:textId="7E15F28F">
            <w:pPr>
              <w:rPr>
                <w:rFonts w:ascii="Arial" w:hAnsi="Arial" w:cs="Arial"/>
                <w:color w:val="44546A" w:themeColor="text2"/>
                <w:sz w:val="20"/>
                <w:szCs w:val="20"/>
              </w:rPr>
            </w:pP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0F440E" w14:paraId="407EBB88" w14:textId="75DEA8A2">
            <w:pPr>
              <w:rPr>
                <w:rFonts w:ascii="Arial" w:hAnsi="Arial" w:cs="Arial"/>
                <w:b/>
                <w:bCs/>
                <w:color w:val="00C1D5"/>
                <w:sz w:val="20"/>
                <w:szCs w:val="20"/>
              </w:rPr>
            </w:pPr>
            <w:hyperlink w:history="1" r:id="rId19">
              <w:r w:rsidRPr="005065C9">
                <w:rPr>
                  <w:rStyle w:val="Hyperlink"/>
                  <w:rFonts w:ascii="Arial" w:hAnsi="Arial" w:cs="Arial"/>
                  <w:b/>
                  <w:bCs/>
                  <w:color w:val="00C1D5"/>
                  <w:sz w:val="20"/>
                  <w:szCs w:val="20"/>
                </w:rPr>
                <w:t>Return to Title IV Refund Policy</w:t>
              </w:r>
            </w:hyperlink>
          </w:p>
        </w:tc>
      </w:tr>
      <w:tr w:rsidRPr="005065C9" w:rsidR="009A083E" w:rsidTr="23C6410D" w14:paraId="65CE799D"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9A083E" w14:paraId="6A90F2FD" w14:textId="77777777">
            <w:pPr>
              <w:rPr>
                <w:rFonts w:ascii="Arial" w:hAnsi="Arial" w:cs="Arial"/>
                <w:sz w:val="20"/>
                <w:szCs w:val="20"/>
              </w:rPr>
            </w:pPr>
            <w:r w:rsidRPr="005065C9">
              <w:rPr>
                <w:rFonts w:ascii="Arial" w:hAnsi="Arial" w:cs="Arial"/>
                <w:b/>
                <w:sz w:val="20"/>
                <w:szCs w:val="20"/>
              </w:rPr>
              <w:t>Study Abroad information</w:t>
            </w:r>
            <w:r w:rsidRPr="005065C9">
              <w:rPr>
                <w:rFonts w:ascii="Arial" w:hAnsi="Arial" w:cs="Arial"/>
                <w:sz w:val="20"/>
                <w:szCs w:val="20"/>
              </w:rPr>
              <w:t xml:space="preserve"> </w:t>
            </w:r>
          </w:p>
          <w:p w:rsidRPr="005065C9" w:rsidR="0007547F" w:rsidP="009A083E" w:rsidRDefault="0007547F" w14:paraId="28C92B6D" w14:textId="40287157">
            <w:pPr>
              <w:rPr>
                <w:rFonts w:ascii="Arial" w:hAnsi="Arial" w:cs="Arial"/>
                <w:sz w:val="20"/>
                <w:szCs w:val="20"/>
              </w:rPr>
            </w:pP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6C58DF" w14:paraId="4893B689" w14:textId="46B8F206">
            <w:pPr>
              <w:rPr>
                <w:rFonts w:ascii="Arial" w:hAnsi="Arial" w:cs="Arial"/>
                <w:color w:val="0070C0"/>
                <w:sz w:val="20"/>
                <w:szCs w:val="20"/>
              </w:rPr>
            </w:pPr>
            <w:r w:rsidRPr="005065C9">
              <w:rPr>
                <w:rFonts w:ascii="Arial" w:hAnsi="Arial" w:cs="Arial"/>
                <w:sz w:val="20"/>
                <w:szCs w:val="20"/>
              </w:rPr>
              <w:t>CCNM does not have Study Abroad programs</w:t>
            </w:r>
            <w:r w:rsidRPr="005065C9" w:rsidR="007E0ED1">
              <w:rPr>
                <w:rFonts w:ascii="Arial" w:hAnsi="Arial" w:cs="Arial"/>
                <w:sz w:val="20"/>
                <w:szCs w:val="20"/>
              </w:rPr>
              <w:t xml:space="preserve">. </w:t>
            </w:r>
          </w:p>
        </w:tc>
      </w:tr>
      <w:tr w:rsidRPr="005065C9" w:rsidR="009A083E" w:rsidTr="23C6410D" w14:paraId="7B51BFE8"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9A083E" w14:paraId="1CA2896E" w14:textId="451C0C38">
            <w:pPr>
              <w:rPr>
                <w:rFonts w:ascii="Arial" w:hAnsi="Arial" w:cs="Arial"/>
                <w:color w:val="44546A" w:themeColor="text2"/>
                <w:sz w:val="20"/>
                <w:szCs w:val="20"/>
              </w:rPr>
            </w:pPr>
            <w:r w:rsidRPr="005065C9">
              <w:rPr>
                <w:rFonts w:ascii="Arial" w:hAnsi="Arial" w:cs="Arial"/>
                <w:b/>
                <w:sz w:val="20"/>
                <w:szCs w:val="20"/>
              </w:rPr>
              <w:t>Withdrawal procedures</w:t>
            </w:r>
            <w:r w:rsidRPr="005065C9">
              <w:rPr>
                <w:rFonts w:ascii="Arial" w:hAnsi="Arial" w:cs="Arial"/>
                <w:sz w:val="20"/>
                <w:szCs w:val="20"/>
              </w:rPr>
              <w:t xml:space="preserve"> </w:t>
            </w: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6F88F0EC" w:rsidP="2BBF7182" w:rsidRDefault="00000000" w14:paraId="52DA218C" w14:textId="04856705">
            <w:pPr>
              <w:rPr>
                <w:rFonts w:ascii="Arial" w:hAnsi="Arial" w:cs="Arial"/>
                <w:b/>
                <w:bCs/>
                <w:color w:val="00C1D5"/>
                <w:sz w:val="20"/>
                <w:szCs w:val="20"/>
              </w:rPr>
            </w:pPr>
            <w:hyperlink r:id="rId20">
              <w:r w:rsidRPr="005065C9" w:rsidR="6F88F0EC">
                <w:rPr>
                  <w:rStyle w:val="Hyperlink"/>
                  <w:rFonts w:ascii="Arial" w:hAnsi="Arial" w:cs="Arial"/>
                  <w:b/>
                  <w:bCs/>
                  <w:color w:val="00C1D5"/>
                  <w:sz w:val="20"/>
                  <w:szCs w:val="20"/>
                </w:rPr>
                <w:t>Tuition, Refund and Withdrawals</w:t>
              </w:r>
            </w:hyperlink>
          </w:p>
          <w:p w:rsidRPr="005065C9" w:rsidR="00B8263F" w:rsidP="009A083E" w:rsidRDefault="00B8263F" w14:paraId="227EF38A" w14:textId="1687B63C">
            <w:pPr>
              <w:rPr>
                <w:rFonts w:ascii="Arial" w:hAnsi="Arial" w:cs="Arial"/>
                <w:sz w:val="20"/>
                <w:szCs w:val="20"/>
              </w:rPr>
            </w:pPr>
          </w:p>
        </w:tc>
      </w:tr>
      <w:tr w:rsidRPr="005065C9" w:rsidR="009A083E" w:rsidTr="23C6410D" w14:paraId="2D573589"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9A083E" w14:paraId="2FD60FF3" w14:textId="77777777">
            <w:pPr>
              <w:rPr>
                <w:rFonts w:ascii="Arial" w:hAnsi="Arial" w:cs="Arial"/>
                <w:sz w:val="20"/>
                <w:szCs w:val="20"/>
              </w:rPr>
            </w:pPr>
            <w:r w:rsidRPr="005065C9">
              <w:rPr>
                <w:rFonts w:ascii="Arial" w:hAnsi="Arial" w:cs="Arial"/>
                <w:b/>
                <w:sz w:val="20"/>
                <w:szCs w:val="20"/>
              </w:rPr>
              <w:t>Written arrangements</w:t>
            </w:r>
            <w:r w:rsidRPr="005065C9" w:rsidR="004C178A">
              <w:rPr>
                <w:rFonts w:ascii="Arial" w:hAnsi="Arial" w:cs="Arial"/>
                <w:b/>
                <w:sz w:val="20"/>
                <w:szCs w:val="20"/>
              </w:rPr>
              <w:t xml:space="preserve"> </w:t>
            </w:r>
            <w:r w:rsidRPr="005065C9">
              <w:rPr>
                <w:rFonts w:ascii="Arial" w:hAnsi="Arial" w:cs="Arial"/>
                <w:b/>
                <w:sz w:val="20"/>
                <w:szCs w:val="20"/>
              </w:rPr>
              <w:t>(consortium and contractual agreements) with other institutions</w:t>
            </w:r>
            <w:r w:rsidRPr="005065C9">
              <w:rPr>
                <w:rFonts w:ascii="Arial" w:hAnsi="Arial" w:cs="Arial"/>
                <w:sz w:val="20"/>
                <w:szCs w:val="20"/>
              </w:rPr>
              <w:t xml:space="preserve"> </w:t>
            </w:r>
          </w:p>
          <w:p w:rsidRPr="005065C9" w:rsidR="009B0F3B" w:rsidP="009A083E" w:rsidRDefault="009B0F3B" w14:paraId="54CBB594" w14:textId="1361F3E3">
            <w:pPr>
              <w:rPr>
                <w:rFonts w:ascii="Arial" w:hAnsi="Arial" w:cs="Arial"/>
                <w:sz w:val="20"/>
                <w:szCs w:val="20"/>
              </w:rPr>
            </w:pP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B95DEB" w14:paraId="0C596EA4" w14:textId="77777777">
            <w:pPr>
              <w:rPr>
                <w:rFonts w:ascii="Arial" w:hAnsi="Arial" w:cs="Arial"/>
                <w:sz w:val="20"/>
                <w:szCs w:val="20"/>
              </w:rPr>
            </w:pPr>
            <w:r w:rsidRPr="005065C9">
              <w:rPr>
                <w:rFonts w:ascii="Arial" w:hAnsi="Arial" w:cs="Arial"/>
                <w:sz w:val="20"/>
                <w:szCs w:val="20"/>
              </w:rPr>
              <w:t>N/A</w:t>
            </w:r>
          </w:p>
          <w:p w:rsidRPr="005065C9" w:rsidR="006613DD" w:rsidP="009A083E" w:rsidRDefault="006613DD" w14:paraId="2601C7B5" w14:textId="31D7FEDE">
            <w:pPr>
              <w:rPr>
                <w:rFonts w:ascii="Arial" w:hAnsi="Arial" w:cs="Arial"/>
                <w:sz w:val="20"/>
                <w:szCs w:val="20"/>
              </w:rPr>
            </w:pPr>
            <w:r w:rsidRPr="005065C9">
              <w:rPr>
                <w:rFonts w:ascii="Arial" w:hAnsi="Arial" w:cs="Arial"/>
                <w:sz w:val="20"/>
                <w:szCs w:val="20"/>
              </w:rPr>
              <w:t xml:space="preserve">CCNM does not provide </w:t>
            </w:r>
            <w:r w:rsidRPr="005065C9" w:rsidR="000E1A13">
              <w:rPr>
                <w:rFonts w:ascii="Arial" w:hAnsi="Arial" w:cs="Arial"/>
                <w:sz w:val="20"/>
                <w:szCs w:val="20"/>
              </w:rPr>
              <w:t>part of the program</w:t>
            </w:r>
            <w:r w:rsidRPr="005065C9" w:rsidR="009B0F3B">
              <w:rPr>
                <w:rFonts w:ascii="Arial" w:hAnsi="Arial" w:cs="Arial"/>
                <w:sz w:val="20"/>
                <w:szCs w:val="20"/>
              </w:rPr>
              <w:t xml:space="preserve"> at other institutions</w:t>
            </w:r>
          </w:p>
        </w:tc>
      </w:tr>
      <w:tr w:rsidRPr="005065C9" w:rsidR="009A083E" w:rsidTr="23C6410D" w14:paraId="4C8E6D79" w14:textId="77777777">
        <w:tc>
          <w:tcPr>
            <w:tcW w:w="12940" w:type="dxa"/>
            <w:gridSpan w:val="2"/>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2EFD9" w:themeFill="accent6" w:themeFillTint="33"/>
            <w:tcMar/>
          </w:tcPr>
          <w:p w:rsidRPr="005065C9" w:rsidR="009A083E" w:rsidP="009A083E" w:rsidRDefault="009A083E" w14:paraId="2BE35DB3" w14:textId="6BBDA125">
            <w:pPr>
              <w:rPr>
                <w:rFonts w:ascii="Arial" w:hAnsi="Arial" w:cs="Arial"/>
                <w:b/>
                <w:sz w:val="20"/>
                <w:szCs w:val="20"/>
              </w:rPr>
            </w:pPr>
            <w:r w:rsidRPr="005065C9">
              <w:rPr>
                <w:rFonts w:ascii="Arial" w:hAnsi="Arial" w:cs="Arial"/>
                <w:b/>
                <w:sz w:val="20"/>
                <w:szCs w:val="20"/>
              </w:rPr>
              <w:t xml:space="preserve">FERPA </w:t>
            </w:r>
            <w:r w:rsidRPr="005065C9" w:rsidR="006C478A">
              <w:rPr>
                <w:rFonts w:ascii="Arial" w:hAnsi="Arial" w:cs="Arial"/>
                <w:b/>
                <w:sz w:val="20"/>
                <w:szCs w:val="20"/>
              </w:rPr>
              <w:t>(</w:t>
            </w:r>
            <w:r w:rsidRPr="005065C9">
              <w:rPr>
                <w:rFonts w:ascii="Arial" w:hAnsi="Arial" w:cs="Arial"/>
                <w:b/>
                <w:sz w:val="20"/>
                <w:szCs w:val="20"/>
              </w:rPr>
              <w:t>Family Educational Rights and Privacy Act of 1974 (FERPA) – US students only</w:t>
            </w:r>
            <w:r w:rsidRPr="005065C9" w:rsidR="006C478A">
              <w:rPr>
                <w:rFonts w:ascii="Arial" w:hAnsi="Arial" w:cs="Arial"/>
                <w:b/>
                <w:sz w:val="20"/>
                <w:szCs w:val="20"/>
              </w:rPr>
              <w:t>)</w:t>
            </w:r>
          </w:p>
        </w:tc>
      </w:tr>
      <w:tr w:rsidRPr="005065C9" w:rsidR="009A083E" w:rsidTr="23C6410D" w14:paraId="29F4D602"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DE7811" w:rsidRDefault="005D49BE" w14:paraId="3DA1E23A" w14:textId="67BCED30">
            <w:pPr>
              <w:rPr>
                <w:rFonts w:ascii="Arial" w:hAnsi="Arial" w:cs="Arial"/>
                <w:b/>
                <w:color w:val="44546A" w:themeColor="text2"/>
                <w:sz w:val="20"/>
                <w:szCs w:val="20"/>
              </w:rPr>
            </w:pPr>
            <w:r w:rsidRPr="005065C9">
              <w:rPr>
                <w:rFonts w:ascii="Arial" w:hAnsi="Arial" w:cs="Arial"/>
                <w:b/>
                <w:bCs/>
                <w:color w:val="030A13"/>
                <w:sz w:val="21"/>
                <w:szCs w:val="21"/>
                <w:shd w:val="clear" w:color="auto" w:fill="FFFFFF"/>
              </w:rPr>
              <w:t>The Family Educational Rights and Privacy Act (FERPA)</w:t>
            </w:r>
            <w:r w:rsidRPr="005065C9">
              <w:rPr>
                <w:rFonts w:ascii="Arial" w:hAnsi="Arial" w:cs="Arial"/>
                <w:color w:val="030A13"/>
                <w:sz w:val="21"/>
                <w:szCs w:val="21"/>
                <w:shd w:val="clear" w:color="auto" w:fill="FFFFFF"/>
              </w:rPr>
              <w:t xml:space="preserve"> (20 U.S.C. § 1232g; 34 CFR Part 99) is a </w:t>
            </w:r>
            <w:proofErr w:type="gramStart"/>
            <w:r w:rsidRPr="005065C9">
              <w:rPr>
                <w:rFonts w:ascii="Arial" w:hAnsi="Arial" w:cs="Arial"/>
                <w:color w:val="030A13"/>
                <w:sz w:val="21"/>
                <w:szCs w:val="21"/>
                <w:shd w:val="clear" w:color="auto" w:fill="FFFFFF"/>
              </w:rPr>
              <w:t>Federal</w:t>
            </w:r>
            <w:proofErr w:type="gramEnd"/>
            <w:r w:rsidRPr="005065C9">
              <w:rPr>
                <w:rFonts w:ascii="Arial" w:hAnsi="Arial" w:cs="Arial"/>
                <w:color w:val="030A13"/>
                <w:sz w:val="21"/>
                <w:szCs w:val="21"/>
                <w:shd w:val="clear" w:color="auto" w:fill="FFFFFF"/>
              </w:rPr>
              <w:t xml:space="preserve"> law that protects the privacy of student education records</w:t>
            </w: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2BBF7182" w:rsidRDefault="00000000" w14:paraId="1AE732BC" w14:textId="77777777">
            <w:pPr>
              <w:spacing w:line="259" w:lineRule="auto"/>
              <w:rPr>
                <w:rFonts w:ascii="Arial" w:hAnsi="Arial" w:cs="Arial"/>
                <w:b/>
                <w:bCs/>
                <w:color w:val="00C1D5"/>
                <w:sz w:val="20"/>
                <w:szCs w:val="20"/>
                <w:u w:val="single"/>
              </w:rPr>
            </w:pPr>
            <w:hyperlink r:id="rId21">
              <w:r w:rsidRPr="005065C9" w:rsidR="1F0FD651">
                <w:rPr>
                  <w:rFonts w:ascii="Arial" w:hAnsi="Arial" w:cs="Arial"/>
                  <w:b/>
                  <w:bCs/>
                  <w:color w:val="00C1D5"/>
                  <w:sz w:val="20"/>
                  <w:szCs w:val="20"/>
                  <w:u w:val="single"/>
                </w:rPr>
                <w:t>https://www2.ed.gov/policy/gen/guid/fpco/ferpa/index.html</w:t>
              </w:r>
            </w:hyperlink>
            <w:r w:rsidRPr="005065C9" w:rsidR="1F0FD651">
              <w:rPr>
                <w:rFonts w:ascii="Arial" w:hAnsi="Arial" w:cs="Arial"/>
                <w:b/>
                <w:bCs/>
                <w:color w:val="00C1D5"/>
                <w:sz w:val="20"/>
                <w:szCs w:val="20"/>
                <w:u w:val="single"/>
              </w:rPr>
              <w:t xml:space="preserve"> </w:t>
            </w:r>
          </w:p>
          <w:p w:rsidRPr="005065C9" w:rsidR="004C178A" w:rsidP="009A083E" w:rsidRDefault="004C178A" w14:paraId="2B50B747" w14:textId="77777777">
            <w:pPr>
              <w:rPr>
                <w:rFonts w:ascii="Arial" w:hAnsi="Arial" w:eastAsia="Times New Roman" w:cs="Arial"/>
                <w:b/>
                <w:bCs/>
              </w:rPr>
            </w:pPr>
          </w:p>
          <w:p w:rsidRPr="005065C9" w:rsidR="004C178A" w:rsidP="009A083E" w:rsidRDefault="004C178A" w14:paraId="0670A19E" w14:textId="329222E0">
            <w:pPr>
              <w:rPr>
                <w:rFonts w:ascii="Arial" w:hAnsi="Arial" w:cs="Arial"/>
                <w:sz w:val="20"/>
                <w:szCs w:val="20"/>
              </w:rPr>
            </w:pPr>
          </w:p>
        </w:tc>
      </w:tr>
      <w:tr w:rsidRPr="005065C9" w:rsidR="009A083E" w:rsidTr="23C6410D" w14:paraId="044C6C5B" w14:textId="77777777">
        <w:tc>
          <w:tcPr>
            <w:tcW w:w="12940" w:type="dxa"/>
            <w:gridSpan w:val="2"/>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2EFD9" w:themeFill="accent6" w:themeFillTint="33"/>
            <w:tcMar/>
          </w:tcPr>
          <w:p w:rsidRPr="005065C9" w:rsidR="009A083E" w:rsidP="009A083E" w:rsidRDefault="009A083E" w14:paraId="5A8A3CD4" w14:textId="71BA33E8">
            <w:pPr>
              <w:rPr>
                <w:rFonts w:ascii="Arial" w:hAnsi="Arial" w:cs="Arial"/>
                <w:b/>
                <w:sz w:val="20"/>
                <w:szCs w:val="20"/>
              </w:rPr>
            </w:pPr>
            <w:r w:rsidRPr="005065C9">
              <w:rPr>
                <w:rFonts w:ascii="Arial" w:hAnsi="Arial" w:cs="Arial"/>
                <w:b/>
                <w:sz w:val="20"/>
                <w:szCs w:val="20"/>
              </w:rPr>
              <w:t>SAFEGUARDING CUSTOMER INFORMATION</w:t>
            </w:r>
          </w:p>
        </w:tc>
      </w:tr>
      <w:tr w:rsidRPr="005065C9" w:rsidR="009A083E" w:rsidTr="23C6410D" w14:paraId="5DDD682D"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504D91" w14:paraId="35762704" w14:textId="77777777">
            <w:pPr>
              <w:rPr>
                <w:rFonts w:ascii="Arial" w:hAnsi="Arial" w:cs="Arial"/>
                <w:b/>
                <w:bCs/>
                <w:color w:val="44546A" w:themeColor="text2"/>
                <w:sz w:val="20"/>
                <w:szCs w:val="20"/>
              </w:rPr>
            </w:pPr>
            <w:r w:rsidRPr="005065C9">
              <w:rPr>
                <w:rFonts w:ascii="Arial" w:hAnsi="Arial" w:cs="Arial"/>
                <w:b/>
                <w:bCs/>
                <w:color w:val="44546A" w:themeColor="text2"/>
                <w:sz w:val="20"/>
                <w:szCs w:val="20"/>
              </w:rPr>
              <w:t>Privacy</w:t>
            </w:r>
          </w:p>
          <w:p w:rsidRPr="005065C9" w:rsidR="00504D91" w:rsidP="009A083E" w:rsidRDefault="00504D91" w14:paraId="379DADF0" w14:textId="21181F51">
            <w:pPr>
              <w:rPr>
                <w:rFonts w:ascii="Arial" w:hAnsi="Arial" w:cs="Arial"/>
                <w:sz w:val="20"/>
                <w:szCs w:val="20"/>
              </w:rPr>
            </w:pP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000000" w14:paraId="372692E0" w14:textId="637751A9">
            <w:pPr>
              <w:rPr>
                <w:rFonts w:ascii="Arial" w:hAnsi="Arial" w:cs="Arial"/>
                <w:b/>
                <w:bCs/>
                <w:sz w:val="20"/>
                <w:szCs w:val="20"/>
              </w:rPr>
            </w:pPr>
            <w:hyperlink w:history="1" r:id="rId22">
              <w:r w:rsidRPr="005065C9" w:rsidR="003203E4">
                <w:rPr>
                  <w:rStyle w:val="Hyperlink"/>
                  <w:rFonts w:ascii="Arial" w:hAnsi="Arial" w:cs="Arial"/>
                  <w:b/>
                  <w:bCs/>
                  <w:color w:val="00C1D5"/>
                  <w:sz w:val="20"/>
                  <w:szCs w:val="20"/>
                </w:rPr>
                <w:t>Privacy Policy</w:t>
              </w:r>
            </w:hyperlink>
          </w:p>
        </w:tc>
      </w:tr>
      <w:tr w:rsidRPr="005065C9" w:rsidR="009A083E" w:rsidTr="23C6410D" w14:paraId="52566333" w14:textId="77777777">
        <w:tc>
          <w:tcPr>
            <w:tcW w:w="12940" w:type="dxa"/>
            <w:gridSpan w:val="2"/>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2EFD9" w:themeFill="accent6" w:themeFillTint="33"/>
            <w:tcMar/>
          </w:tcPr>
          <w:p w:rsidRPr="005065C9" w:rsidR="009A083E" w:rsidP="009A083E" w:rsidRDefault="009A083E" w14:paraId="4557BF65" w14:textId="301534A7">
            <w:pPr>
              <w:rPr>
                <w:rFonts w:ascii="Arial" w:hAnsi="Arial" w:cs="Arial"/>
                <w:b/>
                <w:sz w:val="24"/>
                <w:szCs w:val="24"/>
              </w:rPr>
            </w:pPr>
            <w:r w:rsidRPr="005065C9">
              <w:rPr>
                <w:rFonts w:ascii="Arial" w:hAnsi="Arial" w:cs="Arial"/>
                <w:b/>
                <w:sz w:val="20"/>
                <w:szCs w:val="20"/>
              </w:rPr>
              <w:t>MISREPRESENTATION</w:t>
            </w:r>
          </w:p>
        </w:tc>
      </w:tr>
      <w:tr w:rsidRPr="005065C9" w:rsidR="00620D2C" w:rsidTr="23C6410D" w14:paraId="577D1453" w14:textId="77777777">
        <w:trPr>
          <w:trHeight w:val="1840"/>
        </w:trPr>
        <w:tc>
          <w:tcPr>
            <w:tcW w:w="6285" w:type="dxa"/>
            <w:tcBorders>
              <w:top w:val="single" w:color="000000" w:themeColor="text1" w:sz="12" w:space="0"/>
              <w:left w:val="single" w:color="000000" w:themeColor="text1" w:sz="12" w:space="0"/>
              <w:right w:val="single" w:color="000000" w:themeColor="text1" w:sz="12" w:space="0"/>
            </w:tcBorders>
            <w:tcMar/>
          </w:tcPr>
          <w:p w:rsidRPr="005065C9" w:rsidR="00620D2C" w:rsidP="009A083E" w:rsidRDefault="00620D2C" w14:paraId="2B32B332" w14:textId="4556F725">
            <w:pPr>
              <w:rPr>
                <w:rFonts w:ascii="Arial" w:hAnsi="Arial" w:cs="Arial"/>
                <w:b/>
                <w:bCs/>
                <w:sz w:val="20"/>
                <w:szCs w:val="20"/>
              </w:rPr>
            </w:pPr>
            <w:r w:rsidRPr="005065C9">
              <w:rPr>
                <w:rFonts w:ascii="Arial" w:hAnsi="Arial" w:cs="Arial"/>
                <w:b/>
                <w:bCs/>
                <w:sz w:val="20"/>
                <w:szCs w:val="20"/>
              </w:rPr>
              <w:t xml:space="preserve">Statement </w:t>
            </w:r>
          </w:p>
        </w:tc>
        <w:tc>
          <w:tcPr>
            <w:tcW w:w="6655" w:type="dxa"/>
            <w:tcBorders>
              <w:top w:val="single" w:color="000000" w:themeColor="text1" w:sz="12" w:space="0"/>
              <w:left w:val="single" w:color="000000" w:themeColor="text1" w:sz="12" w:space="0"/>
              <w:right w:val="single" w:color="000000" w:themeColor="text1" w:sz="12" w:space="0"/>
            </w:tcBorders>
            <w:tcMar/>
          </w:tcPr>
          <w:p w:rsidRPr="005065C9" w:rsidR="00620D2C" w:rsidP="009A083E" w:rsidRDefault="00620D2C" w14:paraId="53113DCF" w14:textId="69A09A28">
            <w:pPr>
              <w:rPr>
                <w:rFonts w:ascii="Arial" w:hAnsi="Arial" w:cs="Arial"/>
                <w:i/>
                <w:iCs/>
                <w:sz w:val="20"/>
                <w:szCs w:val="20"/>
              </w:rPr>
            </w:pPr>
            <w:r w:rsidRPr="005065C9">
              <w:rPr>
                <w:rFonts w:ascii="Arial" w:hAnsi="Arial" w:cs="Arial"/>
                <w:sz w:val="20"/>
                <w:szCs w:val="20"/>
              </w:rPr>
              <w:t xml:space="preserve">The Canadian College of Naturopathic Medicine is committed to ensure that no false, incorrect, misleading statement is made directly or indirectly to a student, any member of the public, an accrediting agency, or the US Department of Education. It has policies and procedures in place to ensure it does not misrepresent the nature of its educational programs in the dissemination of a student endorsement or testimonial. In addition, it ensures it does not misrepresent the nature of its financial charges.  </w:t>
            </w:r>
          </w:p>
        </w:tc>
      </w:tr>
      <w:tr w:rsidRPr="005065C9" w:rsidR="009A083E" w:rsidTr="23C6410D" w14:paraId="7E9904CE" w14:textId="77777777">
        <w:tc>
          <w:tcPr>
            <w:tcW w:w="12940" w:type="dxa"/>
            <w:gridSpan w:val="2"/>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2EFD9" w:themeFill="accent6" w:themeFillTint="33"/>
            <w:tcMar/>
          </w:tcPr>
          <w:p w:rsidRPr="005065C9" w:rsidR="009A083E" w:rsidP="009A083E" w:rsidRDefault="009A083E" w14:paraId="10F0BD40" w14:textId="59464F6B">
            <w:pPr>
              <w:rPr>
                <w:rFonts w:ascii="Arial" w:hAnsi="Arial" w:cs="Arial"/>
                <w:b/>
                <w:sz w:val="24"/>
                <w:szCs w:val="24"/>
              </w:rPr>
            </w:pPr>
            <w:r w:rsidRPr="005065C9">
              <w:rPr>
                <w:rFonts w:ascii="Arial" w:hAnsi="Arial" w:cs="Arial"/>
                <w:b/>
                <w:sz w:val="20"/>
                <w:szCs w:val="20"/>
              </w:rPr>
              <w:t>LOAN DISCLOSURES</w:t>
            </w:r>
          </w:p>
        </w:tc>
      </w:tr>
      <w:tr w:rsidRPr="005065C9" w:rsidR="009A083E" w:rsidTr="23C6410D" w14:paraId="480A6746"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9A083E" w14:paraId="57DE7C34" w14:textId="62FA82DE">
            <w:pPr>
              <w:rPr>
                <w:rFonts w:ascii="Arial" w:hAnsi="Arial" w:cs="Arial"/>
                <w:b/>
                <w:sz w:val="20"/>
                <w:szCs w:val="20"/>
              </w:rPr>
            </w:pPr>
            <w:r w:rsidRPr="005065C9">
              <w:rPr>
                <w:rFonts w:ascii="Arial" w:hAnsi="Arial" w:cs="Arial"/>
                <w:b/>
                <w:sz w:val="20"/>
                <w:szCs w:val="20"/>
              </w:rPr>
              <w:lastRenderedPageBreak/>
              <w:t xml:space="preserve">Exit Counseling </w:t>
            </w: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000000" w14:paraId="14E6EA88" w14:textId="77777777">
            <w:pPr>
              <w:rPr>
                <w:rFonts w:ascii="Arial" w:hAnsi="Arial" w:cs="Arial"/>
                <w:b/>
                <w:bCs/>
                <w:color w:val="00C1D5"/>
                <w:sz w:val="20"/>
                <w:szCs w:val="20"/>
              </w:rPr>
            </w:pPr>
            <w:hyperlink w:history="1" r:id="rId23">
              <w:r w:rsidRPr="005065C9" w:rsidR="00A06D70">
                <w:rPr>
                  <w:rStyle w:val="Hyperlink"/>
                  <w:rFonts w:ascii="Arial" w:hAnsi="Arial" w:cs="Arial"/>
                  <w:b/>
                  <w:bCs/>
                  <w:color w:val="00C1D5"/>
                  <w:sz w:val="20"/>
                  <w:szCs w:val="20"/>
                </w:rPr>
                <w:t>Exit Counseling | Federal Student Aid</w:t>
              </w:r>
            </w:hyperlink>
          </w:p>
          <w:p w:rsidRPr="005065C9" w:rsidR="00C93EA2" w:rsidP="009A083E" w:rsidRDefault="00C93EA2" w14:paraId="2041E5F1" w14:textId="77777777">
            <w:pPr>
              <w:rPr>
                <w:rFonts w:ascii="Arial" w:hAnsi="Arial" w:cs="Arial"/>
                <w:sz w:val="20"/>
                <w:szCs w:val="20"/>
              </w:rPr>
            </w:pPr>
          </w:p>
          <w:p w:rsidRPr="005065C9" w:rsidR="006A1A56" w:rsidP="009A083E" w:rsidRDefault="006A1A56" w14:paraId="0D4FC377" w14:textId="36825094">
            <w:pPr>
              <w:rPr>
                <w:rFonts w:ascii="Arial" w:hAnsi="Arial" w:cs="Arial"/>
                <w:sz w:val="20"/>
                <w:szCs w:val="20"/>
              </w:rPr>
            </w:pPr>
            <w:r w:rsidRPr="005065C9">
              <w:rPr>
                <w:rFonts w:ascii="Arial" w:hAnsi="Arial" w:cs="Arial"/>
                <w:sz w:val="20"/>
                <w:szCs w:val="20"/>
              </w:rPr>
              <w:t>Email is sent to students leaving the program (</w:t>
            </w:r>
            <w:r w:rsidRPr="005065C9" w:rsidR="00620D2C">
              <w:rPr>
                <w:rFonts w:ascii="Arial" w:hAnsi="Arial" w:cs="Arial"/>
                <w:sz w:val="20"/>
                <w:szCs w:val="20"/>
              </w:rPr>
              <w:t xml:space="preserve">E.g., </w:t>
            </w:r>
            <w:r w:rsidRPr="005065C9">
              <w:rPr>
                <w:rFonts w:ascii="Arial" w:hAnsi="Arial" w:cs="Arial"/>
                <w:sz w:val="20"/>
                <w:szCs w:val="20"/>
              </w:rPr>
              <w:t xml:space="preserve">graduation, dismissal, </w:t>
            </w:r>
            <w:r w:rsidRPr="005065C9" w:rsidR="00620D2C">
              <w:rPr>
                <w:rFonts w:ascii="Arial" w:hAnsi="Arial" w:cs="Arial"/>
                <w:sz w:val="20"/>
                <w:szCs w:val="20"/>
              </w:rPr>
              <w:t>withdrawal</w:t>
            </w:r>
            <w:r w:rsidRPr="005065C9" w:rsidR="0032045E">
              <w:rPr>
                <w:rFonts w:ascii="Arial" w:hAnsi="Arial" w:cs="Arial"/>
                <w:sz w:val="20"/>
                <w:szCs w:val="20"/>
              </w:rPr>
              <w:t xml:space="preserve">) that exit counseling is required. If not received, the Student Services Officer </w:t>
            </w:r>
            <w:r w:rsidRPr="005065C9" w:rsidR="00620D2C">
              <w:rPr>
                <w:rFonts w:ascii="Arial" w:hAnsi="Arial" w:cs="Arial"/>
                <w:sz w:val="20"/>
                <w:szCs w:val="20"/>
              </w:rPr>
              <w:t>will send</w:t>
            </w:r>
            <w:r w:rsidRPr="005065C9" w:rsidR="0032045E">
              <w:rPr>
                <w:rFonts w:ascii="Arial" w:hAnsi="Arial" w:cs="Arial"/>
                <w:sz w:val="20"/>
                <w:szCs w:val="20"/>
              </w:rPr>
              <w:t xml:space="preserve"> to last known </w:t>
            </w:r>
            <w:r w:rsidRPr="005065C9" w:rsidR="00F4005F">
              <w:rPr>
                <w:rFonts w:ascii="Arial" w:hAnsi="Arial" w:cs="Arial"/>
                <w:sz w:val="20"/>
                <w:szCs w:val="20"/>
              </w:rPr>
              <w:t xml:space="preserve">physical </w:t>
            </w:r>
            <w:r w:rsidRPr="005065C9" w:rsidR="0032045E">
              <w:rPr>
                <w:rFonts w:ascii="Arial" w:hAnsi="Arial" w:cs="Arial"/>
                <w:sz w:val="20"/>
                <w:szCs w:val="20"/>
              </w:rPr>
              <w:t>address</w:t>
            </w:r>
            <w:r w:rsidRPr="005065C9" w:rsidR="00F4005F">
              <w:rPr>
                <w:rFonts w:ascii="Arial" w:hAnsi="Arial" w:cs="Arial"/>
                <w:sz w:val="20"/>
                <w:szCs w:val="20"/>
              </w:rPr>
              <w:t xml:space="preserve"> within 30 days</w:t>
            </w:r>
            <w:r w:rsidRPr="005065C9" w:rsidR="0032045E">
              <w:rPr>
                <w:rFonts w:ascii="Arial" w:hAnsi="Arial" w:cs="Arial"/>
                <w:sz w:val="20"/>
                <w:szCs w:val="20"/>
              </w:rPr>
              <w:t xml:space="preserve">. </w:t>
            </w:r>
          </w:p>
        </w:tc>
      </w:tr>
      <w:tr w:rsidRPr="005065C9" w:rsidR="009A083E" w:rsidTr="23C6410D" w14:paraId="0911A7A0"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9A083E" w14:paraId="36B6E0E3" w14:textId="405A0CD1">
            <w:pPr>
              <w:rPr>
                <w:rFonts w:ascii="Arial" w:hAnsi="Arial" w:cs="Arial"/>
                <w:b/>
                <w:sz w:val="20"/>
                <w:szCs w:val="20"/>
              </w:rPr>
            </w:pPr>
            <w:r w:rsidRPr="005065C9">
              <w:rPr>
                <w:rFonts w:ascii="Arial" w:hAnsi="Arial" w:cs="Arial"/>
                <w:b/>
                <w:sz w:val="20"/>
                <w:szCs w:val="20"/>
              </w:rPr>
              <w:t xml:space="preserve">Providing borrower information at separation </w:t>
            </w: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Mar/>
          </w:tcPr>
          <w:p w:rsidRPr="005065C9" w:rsidR="009A083E" w:rsidP="00A06D70" w:rsidRDefault="00167FB5" w14:paraId="20DE3E88" w14:textId="5DD104DB">
            <w:pPr>
              <w:rPr>
                <w:rFonts w:ascii="Arial" w:hAnsi="Arial" w:cs="Arial"/>
                <w:bCs/>
                <w:sz w:val="20"/>
                <w:szCs w:val="20"/>
              </w:rPr>
            </w:pPr>
            <w:r w:rsidRPr="005065C9">
              <w:rPr>
                <w:rFonts w:ascii="Arial" w:hAnsi="Arial" w:cs="Arial"/>
                <w:bCs/>
                <w:sz w:val="20"/>
                <w:szCs w:val="20"/>
              </w:rPr>
              <w:t xml:space="preserve">For Title IV loans </w:t>
            </w:r>
            <w:r w:rsidRPr="005065C9" w:rsidR="002917C9">
              <w:rPr>
                <w:rFonts w:ascii="Arial" w:hAnsi="Arial" w:cs="Arial"/>
                <w:bCs/>
                <w:sz w:val="20"/>
                <w:szCs w:val="20"/>
              </w:rPr>
              <w:t>CCNM send</w:t>
            </w:r>
            <w:r w:rsidRPr="005065C9" w:rsidR="00F4005F">
              <w:rPr>
                <w:rFonts w:ascii="Arial" w:hAnsi="Arial" w:cs="Arial"/>
                <w:bCs/>
                <w:sz w:val="20"/>
                <w:szCs w:val="20"/>
              </w:rPr>
              <w:t>s</w:t>
            </w:r>
            <w:r w:rsidRPr="005065C9" w:rsidR="002917C9">
              <w:rPr>
                <w:rFonts w:ascii="Arial" w:hAnsi="Arial" w:cs="Arial"/>
                <w:bCs/>
                <w:sz w:val="20"/>
                <w:szCs w:val="20"/>
              </w:rPr>
              <w:t xml:space="preserve"> regular updates to NSLDS as </w:t>
            </w:r>
            <w:r w:rsidRPr="005065C9" w:rsidR="00C93EA2">
              <w:rPr>
                <w:rFonts w:ascii="Arial" w:hAnsi="Arial" w:cs="Arial"/>
                <w:bCs/>
                <w:sz w:val="20"/>
                <w:szCs w:val="20"/>
              </w:rPr>
              <w:t>required</w:t>
            </w:r>
          </w:p>
        </w:tc>
      </w:tr>
      <w:tr w:rsidRPr="005065C9" w:rsidR="009A083E" w:rsidTr="23C6410D" w14:paraId="6BEABE53"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9A083E" w14:paraId="3579147C" w14:textId="7F7A6C9C">
            <w:pPr>
              <w:rPr>
                <w:rFonts w:ascii="Arial" w:hAnsi="Arial" w:cs="Arial"/>
                <w:b/>
                <w:sz w:val="20"/>
                <w:szCs w:val="20"/>
              </w:rPr>
            </w:pPr>
            <w:r w:rsidRPr="005065C9">
              <w:rPr>
                <w:rFonts w:ascii="Arial" w:hAnsi="Arial" w:cs="Arial"/>
                <w:b/>
                <w:sz w:val="20"/>
                <w:szCs w:val="20"/>
              </w:rPr>
              <w:t xml:space="preserve">Private Education Loans </w:t>
            </w: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2BBF7182" w:rsidRDefault="3403F7B8" w14:paraId="0113B3F0" w14:textId="050778C3">
            <w:pPr>
              <w:spacing w:line="259" w:lineRule="auto"/>
              <w:rPr>
                <w:rFonts w:ascii="Arial" w:hAnsi="Arial" w:cs="Arial"/>
              </w:rPr>
            </w:pPr>
            <w:r w:rsidRPr="005065C9">
              <w:rPr>
                <w:rFonts w:ascii="Arial" w:hAnsi="Arial" w:cs="Arial"/>
                <w:sz w:val="20"/>
                <w:szCs w:val="20"/>
              </w:rPr>
              <w:t>N/A</w:t>
            </w:r>
          </w:p>
        </w:tc>
      </w:tr>
      <w:tr w:rsidRPr="005065C9" w:rsidR="009A083E" w:rsidTr="23C6410D" w14:paraId="565E1902"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9A083E" w14:paraId="62CC0224" w14:textId="29D36CF9">
            <w:pPr>
              <w:rPr>
                <w:rFonts w:ascii="Arial" w:hAnsi="Arial" w:cs="Arial"/>
                <w:b/>
                <w:sz w:val="20"/>
                <w:szCs w:val="20"/>
              </w:rPr>
            </w:pPr>
            <w:r w:rsidRPr="005065C9">
              <w:rPr>
                <w:rFonts w:ascii="Arial" w:hAnsi="Arial" w:cs="Arial"/>
                <w:b/>
                <w:sz w:val="20"/>
                <w:szCs w:val="20"/>
              </w:rPr>
              <w:t xml:space="preserve">Schools as private lender </w:t>
            </w: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2BBF7182" w:rsidRDefault="13566A51" w14:paraId="477B0AE7" w14:textId="7776B73F">
            <w:pPr>
              <w:spacing w:line="259" w:lineRule="auto"/>
              <w:rPr>
                <w:rFonts w:ascii="Arial" w:hAnsi="Arial" w:cs="Arial"/>
              </w:rPr>
            </w:pPr>
            <w:r w:rsidRPr="005065C9">
              <w:rPr>
                <w:rFonts w:ascii="Arial" w:hAnsi="Arial" w:cs="Arial"/>
                <w:sz w:val="20"/>
                <w:szCs w:val="20"/>
              </w:rPr>
              <w:t>N/A</w:t>
            </w:r>
          </w:p>
        </w:tc>
      </w:tr>
      <w:tr w:rsidRPr="005065C9" w:rsidR="009A083E" w:rsidTr="23C6410D" w14:paraId="4B88126F"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9A083E" w14:paraId="3C0E2A70" w14:textId="2F084A0D">
            <w:pPr>
              <w:rPr>
                <w:rFonts w:ascii="Arial" w:hAnsi="Arial" w:cs="Arial"/>
                <w:b/>
                <w:sz w:val="20"/>
                <w:szCs w:val="20"/>
              </w:rPr>
            </w:pPr>
            <w:r w:rsidRPr="005065C9">
              <w:rPr>
                <w:rFonts w:ascii="Arial" w:hAnsi="Arial" w:cs="Arial"/>
                <w:b/>
                <w:sz w:val="20"/>
                <w:szCs w:val="20"/>
              </w:rPr>
              <w:t xml:space="preserve">Preferred lender list </w:t>
            </w: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10357C" w:rsidP="2BBF7182" w:rsidRDefault="111BC666" w14:paraId="067EDA44" w14:textId="10546BD2">
            <w:pPr>
              <w:spacing w:line="259" w:lineRule="auto"/>
              <w:rPr>
                <w:rFonts w:ascii="Arial" w:hAnsi="Arial" w:cs="Arial"/>
              </w:rPr>
            </w:pPr>
            <w:r w:rsidRPr="005065C9">
              <w:rPr>
                <w:rFonts w:ascii="Arial" w:hAnsi="Arial" w:cs="Arial"/>
                <w:sz w:val="20"/>
                <w:szCs w:val="20"/>
              </w:rPr>
              <w:t>N/A</w:t>
            </w:r>
          </w:p>
        </w:tc>
      </w:tr>
      <w:tr w:rsidRPr="005065C9" w:rsidR="009A083E" w:rsidTr="23C6410D" w14:paraId="57ED3458" w14:textId="77777777">
        <w:tc>
          <w:tcPr>
            <w:tcW w:w="628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9A083E" w14:paraId="6C2BF05C" w14:textId="35A0ECB2">
            <w:pPr>
              <w:rPr>
                <w:rFonts w:ascii="Arial" w:hAnsi="Arial" w:cs="Arial"/>
                <w:b/>
                <w:sz w:val="20"/>
                <w:szCs w:val="20"/>
              </w:rPr>
            </w:pPr>
            <w:r w:rsidRPr="005065C9">
              <w:rPr>
                <w:rFonts w:ascii="Arial" w:hAnsi="Arial" w:cs="Arial"/>
                <w:b/>
                <w:sz w:val="20"/>
                <w:szCs w:val="20"/>
              </w:rPr>
              <w:t xml:space="preserve">Code of conduct concerning loans </w:t>
            </w:r>
          </w:p>
        </w:tc>
        <w:tc>
          <w:tcPr>
            <w:tcW w:w="665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Mar/>
          </w:tcPr>
          <w:p w:rsidRPr="005065C9" w:rsidR="009A083E" w:rsidP="009A083E" w:rsidRDefault="005F7520" w14:paraId="6CB0DBCD" w14:textId="08DBD368">
            <w:pPr>
              <w:rPr>
                <w:rFonts w:ascii="Arial" w:hAnsi="Arial" w:cs="Arial"/>
                <w:bCs/>
                <w:sz w:val="20"/>
                <w:szCs w:val="20"/>
              </w:rPr>
            </w:pPr>
            <w:r w:rsidRPr="005065C9">
              <w:rPr>
                <w:rFonts w:ascii="Arial" w:hAnsi="Arial" w:cs="Arial"/>
                <w:bCs/>
                <w:sz w:val="20"/>
                <w:szCs w:val="20"/>
              </w:rPr>
              <w:t>CCNM</w:t>
            </w:r>
            <w:r w:rsidRPr="005065C9" w:rsidR="0010357C">
              <w:rPr>
                <w:rFonts w:ascii="Arial" w:hAnsi="Arial" w:cs="Arial"/>
                <w:bCs/>
                <w:sz w:val="20"/>
                <w:szCs w:val="20"/>
              </w:rPr>
              <w:t xml:space="preserve"> </w:t>
            </w:r>
            <w:r w:rsidRPr="005065C9" w:rsidR="00752CE2">
              <w:rPr>
                <w:rFonts w:ascii="Arial" w:hAnsi="Arial" w:cs="Arial"/>
                <w:bCs/>
                <w:sz w:val="20"/>
                <w:szCs w:val="20"/>
              </w:rPr>
              <w:t xml:space="preserve">prohibits </w:t>
            </w:r>
            <w:r w:rsidRPr="005065C9" w:rsidR="0019561E">
              <w:rPr>
                <w:rFonts w:ascii="Arial" w:hAnsi="Arial" w:cs="Arial"/>
                <w:bCs/>
                <w:sz w:val="20"/>
                <w:szCs w:val="20"/>
              </w:rPr>
              <w:t xml:space="preserve">revenue sharing arrangement with any lender, receiving gift from lender, contracting arrangement, </w:t>
            </w:r>
            <w:r w:rsidRPr="005065C9" w:rsidR="00BC740D">
              <w:rPr>
                <w:rFonts w:ascii="Arial" w:hAnsi="Arial" w:cs="Arial"/>
                <w:bCs/>
                <w:sz w:val="20"/>
                <w:szCs w:val="20"/>
              </w:rPr>
              <w:t>directing borrowers to particular lender, offer of funds for private loans, advisory board compensation</w:t>
            </w:r>
            <w:r w:rsidRPr="005065C9" w:rsidR="00EB460C">
              <w:rPr>
                <w:rFonts w:ascii="Arial" w:hAnsi="Arial" w:cs="Arial"/>
                <w:bCs/>
                <w:sz w:val="20"/>
                <w:szCs w:val="20"/>
              </w:rPr>
              <w:t>.</w:t>
            </w:r>
          </w:p>
        </w:tc>
      </w:tr>
    </w:tbl>
    <w:p w:rsidRPr="005065C9" w:rsidR="00DD580F" w:rsidP="00DD580F" w:rsidRDefault="00DD580F" w14:paraId="223FDBDD" w14:textId="77777777">
      <w:pPr>
        <w:spacing w:after="0"/>
        <w:rPr>
          <w:rFonts w:ascii="Arial" w:hAnsi="Arial" w:cs="Arial"/>
          <w:sz w:val="24"/>
          <w:szCs w:val="24"/>
        </w:rPr>
      </w:pPr>
    </w:p>
    <w:sectPr w:rsidRPr="005065C9" w:rsidR="00DD580F" w:rsidSect="004778E9">
      <w:pgSz w:w="15840" w:h="12240" w:orient="landscape"/>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57D6"/>
    <w:multiLevelType w:val="hybridMultilevel"/>
    <w:tmpl w:val="F126F7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299905B6"/>
    <w:multiLevelType w:val="hybridMultilevel"/>
    <w:tmpl w:val="9BD259CC"/>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315662C3"/>
    <w:multiLevelType w:val="hybridMultilevel"/>
    <w:tmpl w:val="D19E487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0D84EF5"/>
    <w:multiLevelType w:val="hybridMultilevel"/>
    <w:tmpl w:val="84D4487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1CC5432"/>
    <w:multiLevelType w:val="hybridMultilevel"/>
    <w:tmpl w:val="AC54AD5A"/>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5C5A3F5D"/>
    <w:multiLevelType w:val="hybridMultilevel"/>
    <w:tmpl w:val="2BD853B2"/>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6" w15:restartNumberingAfterBreak="0">
    <w:nsid w:val="6CEF6754"/>
    <w:multiLevelType w:val="hybridMultilevel"/>
    <w:tmpl w:val="AF943A6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AB77EA0"/>
    <w:multiLevelType w:val="hybridMultilevel"/>
    <w:tmpl w:val="46105CA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67626234">
    <w:abstractNumId w:val="0"/>
  </w:num>
  <w:num w:numId="2" w16cid:durableId="1808889134">
    <w:abstractNumId w:val="4"/>
  </w:num>
  <w:num w:numId="3" w16cid:durableId="1445270331">
    <w:abstractNumId w:val="1"/>
  </w:num>
  <w:num w:numId="4" w16cid:durableId="1707099883">
    <w:abstractNumId w:val="2"/>
  </w:num>
  <w:num w:numId="5" w16cid:durableId="1092900447">
    <w:abstractNumId w:val="5"/>
  </w:num>
  <w:num w:numId="6" w16cid:durableId="1098988534">
    <w:abstractNumId w:val="7"/>
  </w:num>
  <w:num w:numId="7" w16cid:durableId="943655972">
    <w:abstractNumId w:val="6"/>
  </w:num>
  <w:num w:numId="8" w16cid:durableId="448085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80F"/>
    <w:rsid w:val="00030BE3"/>
    <w:rsid w:val="000731F7"/>
    <w:rsid w:val="0007547F"/>
    <w:rsid w:val="000A09B0"/>
    <w:rsid w:val="000D5D8F"/>
    <w:rsid w:val="000E1A13"/>
    <w:rsid w:val="000F440E"/>
    <w:rsid w:val="0010357C"/>
    <w:rsid w:val="00127C42"/>
    <w:rsid w:val="001308A1"/>
    <w:rsid w:val="00167FB5"/>
    <w:rsid w:val="0019561E"/>
    <w:rsid w:val="001D3585"/>
    <w:rsid w:val="001F06E2"/>
    <w:rsid w:val="002051BA"/>
    <w:rsid w:val="00241619"/>
    <w:rsid w:val="0025765E"/>
    <w:rsid w:val="002917C9"/>
    <w:rsid w:val="002C21D9"/>
    <w:rsid w:val="002E2E44"/>
    <w:rsid w:val="002E7351"/>
    <w:rsid w:val="003203E4"/>
    <w:rsid w:val="0032045E"/>
    <w:rsid w:val="003474DF"/>
    <w:rsid w:val="00352F31"/>
    <w:rsid w:val="003A5982"/>
    <w:rsid w:val="003C42B6"/>
    <w:rsid w:val="003D469F"/>
    <w:rsid w:val="004020E2"/>
    <w:rsid w:val="00405796"/>
    <w:rsid w:val="00415FCC"/>
    <w:rsid w:val="00463C28"/>
    <w:rsid w:val="00470994"/>
    <w:rsid w:val="004778E9"/>
    <w:rsid w:val="00481724"/>
    <w:rsid w:val="004C03EF"/>
    <w:rsid w:val="004C178A"/>
    <w:rsid w:val="004C5C05"/>
    <w:rsid w:val="004C6FB4"/>
    <w:rsid w:val="004C73E9"/>
    <w:rsid w:val="00504D91"/>
    <w:rsid w:val="005056BC"/>
    <w:rsid w:val="005065C9"/>
    <w:rsid w:val="0052758B"/>
    <w:rsid w:val="005958DB"/>
    <w:rsid w:val="005D49BE"/>
    <w:rsid w:val="005F45FB"/>
    <w:rsid w:val="005F7520"/>
    <w:rsid w:val="00620D2C"/>
    <w:rsid w:val="00657C83"/>
    <w:rsid w:val="006613DD"/>
    <w:rsid w:val="006957E8"/>
    <w:rsid w:val="006A1A56"/>
    <w:rsid w:val="006B7647"/>
    <w:rsid w:val="006C23D5"/>
    <w:rsid w:val="006C478A"/>
    <w:rsid w:val="006C58DF"/>
    <w:rsid w:val="006C6824"/>
    <w:rsid w:val="006C71AC"/>
    <w:rsid w:val="006D7266"/>
    <w:rsid w:val="00704319"/>
    <w:rsid w:val="00712A3E"/>
    <w:rsid w:val="00715B64"/>
    <w:rsid w:val="00717F20"/>
    <w:rsid w:val="00724D7C"/>
    <w:rsid w:val="007509C8"/>
    <w:rsid w:val="007525AE"/>
    <w:rsid w:val="00752CE2"/>
    <w:rsid w:val="0079195A"/>
    <w:rsid w:val="007B2F11"/>
    <w:rsid w:val="007B37CD"/>
    <w:rsid w:val="007C0998"/>
    <w:rsid w:val="007C20B0"/>
    <w:rsid w:val="007E0ED1"/>
    <w:rsid w:val="007F1154"/>
    <w:rsid w:val="00807D43"/>
    <w:rsid w:val="00817739"/>
    <w:rsid w:val="0085309D"/>
    <w:rsid w:val="00855A52"/>
    <w:rsid w:val="008A5033"/>
    <w:rsid w:val="008B5EDD"/>
    <w:rsid w:val="008D7464"/>
    <w:rsid w:val="008E4771"/>
    <w:rsid w:val="0090349F"/>
    <w:rsid w:val="00905970"/>
    <w:rsid w:val="009113A0"/>
    <w:rsid w:val="00920AF1"/>
    <w:rsid w:val="009237DF"/>
    <w:rsid w:val="009346B4"/>
    <w:rsid w:val="00935192"/>
    <w:rsid w:val="00936396"/>
    <w:rsid w:val="009A083E"/>
    <w:rsid w:val="009A78D0"/>
    <w:rsid w:val="009B0F3B"/>
    <w:rsid w:val="009F0288"/>
    <w:rsid w:val="00A05D38"/>
    <w:rsid w:val="00A06D70"/>
    <w:rsid w:val="00A248AC"/>
    <w:rsid w:val="00A45495"/>
    <w:rsid w:val="00A8772B"/>
    <w:rsid w:val="00AD00A6"/>
    <w:rsid w:val="00B07BC2"/>
    <w:rsid w:val="00B21CAA"/>
    <w:rsid w:val="00B44BE4"/>
    <w:rsid w:val="00B5011D"/>
    <w:rsid w:val="00B76971"/>
    <w:rsid w:val="00B8094B"/>
    <w:rsid w:val="00B80F71"/>
    <w:rsid w:val="00B8263F"/>
    <w:rsid w:val="00B95DEB"/>
    <w:rsid w:val="00B968EF"/>
    <w:rsid w:val="00BA24CB"/>
    <w:rsid w:val="00BB1924"/>
    <w:rsid w:val="00BC740D"/>
    <w:rsid w:val="00BD3B39"/>
    <w:rsid w:val="00C50F71"/>
    <w:rsid w:val="00C93EA2"/>
    <w:rsid w:val="00C940F9"/>
    <w:rsid w:val="00C94D21"/>
    <w:rsid w:val="00CA2894"/>
    <w:rsid w:val="00CB38AB"/>
    <w:rsid w:val="00CB7809"/>
    <w:rsid w:val="00CB7C1B"/>
    <w:rsid w:val="00D0103F"/>
    <w:rsid w:val="00D045A3"/>
    <w:rsid w:val="00D1498B"/>
    <w:rsid w:val="00D2004F"/>
    <w:rsid w:val="00D2748F"/>
    <w:rsid w:val="00D37DB6"/>
    <w:rsid w:val="00D45F15"/>
    <w:rsid w:val="00D56C10"/>
    <w:rsid w:val="00D61D56"/>
    <w:rsid w:val="00D67FFC"/>
    <w:rsid w:val="00D9255B"/>
    <w:rsid w:val="00D947B6"/>
    <w:rsid w:val="00DD580F"/>
    <w:rsid w:val="00DE7762"/>
    <w:rsid w:val="00DE7811"/>
    <w:rsid w:val="00E242A7"/>
    <w:rsid w:val="00E51CE8"/>
    <w:rsid w:val="00E60962"/>
    <w:rsid w:val="00E951F2"/>
    <w:rsid w:val="00EB460C"/>
    <w:rsid w:val="00F26F1A"/>
    <w:rsid w:val="00F4005F"/>
    <w:rsid w:val="00F57F97"/>
    <w:rsid w:val="00F6760D"/>
    <w:rsid w:val="00FE443C"/>
    <w:rsid w:val="00FE4CE4"/>
    <w:rsid w:val="00FF3935"/>
    <w:rsid w:val="00FF5854"/>
    <w:rsid w:val="034542EC"/>
    <w:rsid w:val="05CBDFFF"/>
    <w:rsid w:val="0F14D210"/>
    <w:rsid w:val="111BC666"/>
    <w:rsid w:val="13566A51"/>
    <w:rsid w:val="15A50BD6"/>
    <w:rsid w:val="1647F010"/>
    <w:rsid w:val="1A514F2E"/>
    <w:rsid w:val="1A88EC2E"/>
    <w:rsid w:val="1E4109DE"/>
    <w:rsid w:val="1F0FD651"/>
    <w:rsid w:val="23C6410D"/>
    <w:rsid w:val="2520B4C7"/>
    <w:rsid w:val="26A04B83"/>
    <w:rsid w:val="26E23E07"/>
    <w:rsid w:val="27665E1B"/>
    <w:rsid w:val="29DDF3A3"/>
    <w:rsid w:val="2BBF7182"/>
    <w:rsid w:val="2F2E7E5D"/>
    <w:rsid w:val="3403F7B8"/>
    <w:rsid w:val="36FBC219"/>
    <w:rsid w:val="3B1FC9E1"/>
    <w:rsid w:val="41F87191"/>
    <w:rsid w:val="4249C003"/>
    <w:rsid w:val="43FE694A"/>
    <w:rsid w:val="4714DEF9"/>
    <w:rsid w:val="47B8F49D"/>
    <w:rsid w:val="47E60500"/>
    <w:rsid w:val="5005AF96"/>
    <w:rsid w:val="5CB6DFF2"/>
    <w:rsid w:val="5DC8EA1E"/>
    <w:rsid w:val="5E727760"/>
    <w:rsid w:val="65493BAC"/>
    <w:rsid w:val="6880DC6E"/>
    <w:rsid w:val="69737BFE"/>
    <w:rsid w:val="6B7D1E40"/>
    <w:rsid w:val="6F88F0EC"/>
    <w:rsid w:val="704FEBA1"/>
    <w:rsid w:val="7101896B"/>
    <w:rsid w:val="725CE62A"/>
    <w:rsid w:val="73A43502"/>
    <w:rsid w:val="75D27744"/>
    <w:rsid w:val="790A1806"/>
    <w:rsid w:val="79719ACE"/>
    <w:rsid w:val="7AFAA020"/>
    <w:rsid w:val="7B0D6B2F"/>
    <w:rsid w:val="7BF9409C"/>
    <w:rsid w:val="7C5096BA"/>
    <w:rsid w:val="7CFC6D66"/>
    <w:rsid w:val="7DF58296"/>
    <w:rsid w:val="7F9152F7"/>
    <w:rsid w:val="7FE0DC52"/>
    <w:rsid w:val="7FF4B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F971"/>
  <w15:chartTrackingRefBased/>
  <w15:docId w15:val="{E2C88A99-0FAC-4B87-9CF4-869BB33D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D580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D580F"/>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DD58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C21D9"/>
    <w:pPr>
      <w:spacing w:after="200" w:line="276" w:lineRule="auto"/>
      <w:ind w:left="720"/>
      <w:contextualSpacing/>
    </w:pPr>
  </w:style>
  <w:style w:type="character" w:styleId="A6" w:customStyle="1">
    <w:name w:val="A6"/>
    <w:uiPriority w:val="99"/>
    <w:rsid w:val="00704319"/>
    <w:rPr>
      <w:rFonts w:cs="Myriad Pro"/>
      <w:color w:val="221E1F"/>
      <w:sz w:val="20"/>
      <w:szCs w:val="20"/>
    </w:rPr>
  </w:style>
  <w:style w:type="character" w:styleId="A4" w:customStyle="1">
    <w:name w:val="A4"/>
    <w:uiPriority w:val="99"/>
    <w:rsid w:val="00704319"/>
    <w:rPr>
      <w:rFonts w:cs="Myriad Pro"/>
      <w:color w:val="221E1F"/>
      <w:sz w:val="18"/>
      <w:szCs w:val="18"/>
    </w:rPr>
  </w:style>
  <w:style w:type="character" w:styleId="Hyperlink">
    <w:name w:val="Hyperlink"/>
    <w:basedOn w:val="DefaultParagraphFont"/>
    <w:uiPriority w:val="99"/>
    <w:unhideWhenUsed/>
    <w:rsid w:val="00481724"/>
    <w:rPr>
      <w:color w:val="0000FF"/>
      <w:u w:val="single"/>
    </w:rPr>
  </w:style>
  <w:style w:type="character" w:styleId="FollowedHyperlink">
    <w:name w:val="FollowedHyperlink"/>
    <w:basedOn w:val="DefaultParagraphFont"/>
    <w:uiPriority w:val="99"/>
    <w:semiHidden/>
    <w:unhideWhenUsed/>
    <w:rsid w:val="00481724"/>
    <w:rPr>
      <w:color w:val="954F72" w:themeColor="followedHyperlink"/>
      <w:u w:val="single"/>
    </w:rPr>
  </w:style>
  <w:style w:type="character" w:styleId="UnresolvedMention">
    <w:name w:val="Unresolved Mention"/>
    <w:basedOn w:val="DefaultParagraphFont"/>
    <w:uiPriority w:val="99"/>
    <w:semiHidden/>
    <w:unhideWhenUsed/>
    <w:rsid w:val="007C2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tudentaid.gov/understand-aid/types/loans/plus" TargetMode="External" Id="rId8" /><Relationship Type="http://schemas.openxmlformats.org/officeDocument/2006/relationships/hyperlink" Target="https://ccnm.edu/sites/default/files/2022-10/CCNM_AC-2022-2023-19Oct2022.pdf" TargetMode="External" Id="rId13" /><Relationship Type="http://schemas.openxmlformats.org/officeDocument/2006/relationships/hyperlink" Target="https://ccnm.edu/about/policies/tuition-refund-withdrawal" TargetMode="External" Id="rId18" /><Relationship Type="http://schemas.openxmlformats.org/officeDocument/2006/relationships/settings" Target="settings.xml" Id="rId3" /><Relationship Type="http://schemas.openxmlformats.org/officeDocument/2006/relationships/hyperlink" Target="https://www2.ed.gov/policy/gen/guid/fpco/ferpa/index.html" TargetMode="External" Id="rId21" /><Relationship Type="http://schemas.openxmlformats.org/officeDocument/2006/relationships/hyperlink" Target="https://studentaid.gov/understand-aid/types/loans/subsidized-unsubsidized" TargetMode="External" Id="rId7" /><Relationship Type="http://schemas.openxmlformats.org/officeDocument/2006/relationships/hyperlink" Target="https://studentaid.gov/entrance-counseling/" TargetMode="External" Id="rId12" /><Relationship Type="http://schemas.openxmlformats.org/officeDocument/2006/relationships/hyperlink" Target="https://ccnm.edu/about/policies/accessibility" TargetMode="External" Id="rId17"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hyperlink" Target="https://ccnm.edu/future-students/living-off-campus" TargetMode="External" Id="rId16" /><Relationship Type="http://schemas.openxmlformats.org/officeDocument/2006/relationships/hyperlink" Target="https://ccnm.edu/about/policies/tuition-refund-withdrawal" TargetMode="External" Id="rId20" /><Relationship Type="http://schemas.openxmlformats.org/officeDocument/2006/relationships/numbering" Target="numbering.xml" Id="rId1" /><Relationship Type="http://schemas.openxmlformats.org/officeDocument/2006/relationships/hyperlink" Target="https://ccnm.edu/future-students/scholarships-bursaries" TargetMode="External" Id="rId6" /><Relationship Type="http://schemas.openxmlformats.org/officeDocument/2006/relationships/hyperlink" Target="https://ccnm.edu/about/policies/title-iv-us" TargetMode="External" Id="rId11" /><Relationship Type="http://schemas.openxmlformats.org/officeDocument/2006/relationships/fontTable" Target="fontTable.xml" Id="rId24" /><Relationship Type="http://schemas.openxmlformats.org/officeDocument/2006/relationships/hyperlink" Target="https://studentaid.gov/sites/default/files/direct-loan-basics-students.pdf" TargetMode="External" Id="rId5" /><Relationship Type="http://schemas.openxmlformats.org/officeDocument/2006/relationships/hyperlink" Target="https://ccnm.edu/future-students/living-on-campus" TargetMode="External" Id="rId15" /><Relationship Type="http://schemas.openxmlformats.org/officeDocument/2006/relationships/hyperlink" Target="https://studentaid.gov/exit-counseling/" TargetMode="External" Id="rId23" /><Relationship Type="http://schemas.openxmlformats.org/officeDocument/2006/relationships/hyperlink" Target="https://studentaid.gov/h/apply-for-aid/fafsa" TargetMode="External" Id="rId10" /><Relationship Type="http://schemas.openxmlformats.org/officeDocument/2006/relationships/hyperlink" Target="https://ccnm.edu/about/policies/return-titleIV-refund-policy" TargetMode="External" Id="rId19" /><Relationship Type="http://schemas.openxmlformats.org/officeDocument/2006/relationships/webSettings" Target="webSettings.xml" Id="rId4" /><Relationship Type="http://schemas.openxmlformats.org/officeDocument/2006/relationships/hyperlink" Target="https://studentaid.gov/h/apply-for-aid/fafsa" TargetMode="External" Id="rId9" /><Relationship Type="http://schemas.openxmlformats.org/officeDocument/2006/relationships/hyperlink" Target="https://ccnm.edu/future-students/admissions/tuition-fees" TargetMode="External" Id="rId14" /><Relationship Type="http://schemas.openxmlformats.org/officeDocument/2006/relationships/hyperlink" Target="https://ccnm.edu/about/policies/privacy-policy"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 Hayes</dc:creator>
  <keywords/>
  <dc:description/>
  <lastModifiedBy>Meghan Henesey</lastModifiedBy>
  <revision>6</revision>
  <dcterms:created xsi:type="dcterms:W3CDTF">2022-11-02T13:55:00.0000000Z</dcterms:created>
  <dcterms:modified xsi:type="dcterms:W3CDTF">2022-11-03T15:32:04.4790825Z</dcterms:modified>
</coreProperties>
</file>